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E72" w:rsidRPr="00E21FAE" w:rsidRDefault="00A96E72" w:rsidP="00A96E72">
      <w:pPr>
        <w:pStyle w:val="a5"/>
        <w:keepLines/>
        <w:tabs>
          <w:tab w:val="right" w:pos="10440"/>
          <w:tab w:val="right" w:pos="13323"/>
        </w:tabs>
        <w:spacing w:before="60" w:after="60"/>
        <w:rPr>
          <w:rFonts w:cs="Arial"/>
          <w:sz w:val="24"/>
          <w:szCs w:val="24"/>
        </w:rPr>
      </w:pPr>
      <w:bookmarkStart w:id="0" w:name="Title"/>
      <w:bookmarkEnd w:id="0"/>
      <w:r w:rsidRPr="00A96E72">
        <w:rPr>
          <w:rFonts w:cs="Arial"/>
          <w:sz w:val="24"/>
          <w:szCs w:val="24"/>
        </w:rPr>
        <w:t>3GPP TSG-RAN WG4 Meeting # 106</w:t>
      </w:r>
      <w:r w:rsidRPr="00A96E72">
        <w:rPr>
          <w:rFonts w:cs="Arial" w:hint="eastAsia"/>
          <w:sz w:val="24"/>
          <w:szCs w:val="24"/>
        </w:rPr>
        <w:t xml:space="preserve">                                                               </w:t>
      </w:r>
      <w:r w:rsidR="00E21FAE" w:rsidRPr="00E21FAE">
        <w:rPr>
          <w:rFonts w:cs="Arial"/>
          <w:sz w:val="24"/>
          <w:szCs w:val="24"/>
        </w:rPr>
        <w:t>R4-2300558</w:t>
      </w:r>
    </w:p>
    <w:p w:rsidR="00A96E72" w:rsidRPr="00A96E72" w:rsidRDefault="00A96E72" w:rsidP="00A96E72">
      <w:pPr>
        <w:pStyle w:val="a5"/>
        <w:tabs>
          <w:tab w:val="right" w:pos="9781"/>
          <w:tab w:val="right" w:pos="13323"/>
        </w:tabs>
        <w:spacing w:before="60" w:after="60"/>
        <w:outlineLvl w:val="0"/>
        <w:rPr>
          <w:rFonts w:cs="Arial"/>
          <w:sz w:val="24"/>
          <w:szCs w:val="24"/>
          <w:lang w:eastAsia="zh-CN"/>
        </w:rPr>
      </w:pPr>
      <w:r w:rsidRPr="00A96E72">
        <w:rPr>
          <w:rFonts w:cs="Arial"/>
          <w:sz w:val="24"/>
          <w:szCs w:val="24"/>
          <w:lang w:eastAsia="zh-CN"/>
        </w:rPr>
        <w:t>Athens, Greece, February 27 – March 3, 2023</w:t>
      </w:r>
    </w:p>
    <w:p w:rsidR="00A13C4C" w:rsidRPr="00E80141"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C6597" w:rsidRPr="008C6597">
        <w:rPr>
          <w:rFonts w:ascii="Arial" w:hAnsi="Arial" w:cs="Arial"/>
          <w:b w:val="0"/>
        </w:rPr>
        <w:t>Discussion of the reply LS to RAN1 LS on interference modelling for duplex evolution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52D92" w:rsidRPr="00552D92">
        <w:rPr>
          <w:rFonts w:ascii="Arial" w:hAnsi="Arial" w:cs="Arial"/>
          <w:b w:val="0"/>
        </w:rPr>
        <w:t>9.19.1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552D92">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2B4EC3" w:rsidP="004C4C7A">
      <w:pPr>
        <w:spacing w:before="0" w:after="120"/>
        <w:jc w:val="left"/>
        <w:rPr>
          <w:color w:val="000000" w:themeColor="text1"/>
          <w:sz w:val="20"/>
          <w:lang w:val="en-US"/>
        </w:rPr>
      </w:pPr>
      <w:r>
        <w:rPr>
          <w:rFonts w:hint="eastAsia"/>
          <w:color w:val="000000" w:themeColor="text1"/>
          <w:sz w:val="20"/>
          <w:lang w:val="en-US"/>
        </w:rPr>
        <w:t xml:space="preserve">LS </w:t>
      </w:r>
      <w:r w:rsidRPr="002B4EC3">
        <w:rPr>
          <w:color w:val="000000" w:themeColor="text1"/>
          <w:sz w:val="20"/>
          <w:lang w:val="en-US"/>
        </w:rPr>
        <w:t>R4-2300010</w:t>
      </w:r>
      <w:r w:rsidR="001006CA">
        <w:rPr>
          <w:rFonts w:hint="eastAsia"/>
          <w:color w:val="000000" w:themeColor="text1"/>
          <w:sz w:val="20"/>
          <w:lang w:val="en-US"/>
        </w:rPr>
        <w:t xml:space="preserve"> (</w:t>
      </w:r>
      <w:r w:rsidR="001006CA" w:rsidRPr="00315BFC">
        <w:rPr>
          <w:color w:val="000000" w:themeColor="text1"/>
          <w:sz w:val="20"/>
          <w:lang w:val="en-US"/>
        </w:rPr>
        <w:t>R1-2212963</w:t>
      </w:r>
      <w:r w:rsidR="001006CA">
        <w:rPr>
          <w:rFonts w:hint="eastAsia"/>
          <w:color w:val="000000" w:themeColor="text1"/>
          <w:sz w:val="20"/>
          <w:lang w:val="en-US"/>
        </w:rPr>
        <w:t>)</w:t>
      </w:r>
      <w:r>
        <w:rPr>
          <w:rFonts w:hint="eastAsia"/>
          <w:color w:val="000000" w:themeColor="text1"/>
          <w:sz w:val="20"/>
          <w:lang w:val="en-US"/>
        </w:rPr>
        <w:t xml:space="preserve"> from RAN1 was sent to RAN4 to ask some questions about interference modeling. This contribution </w:t>
      </w:r>
      <w:r>
        <w:rPr>
          <w:color w:val="000000" w:themeColor="text1"/>
          <w:sz w:val="20"/>
          <w:lang w:val="en-US"/>
        </w:rPr>
        <w:t>provides</w:t>
      </w:r>
      <w:r>
        <w:rPr>
          <w:rFonts w:hint="eastAsia"/>
          <w:color w:val="000000" w:themeColor="text1"/>
          <w:sz w:val="20"/>
          <w:lang w:val="en-US"/>
        </w:rPr>
        <w:t xml:space="preserve"> our analysis and</w:t>
      </w:r>
      <w:r w:rsidR="00F21063">
        <w:rPr>
          <w:rFonts w:hint="eastAsia"/>
          <w:color w:val="000000" w:themeColor="text1"/>
          <w:sz w:val="20"/>
          <w:lang w:val="en-US"/>
        </w:rPr>
        <w:t xml:space="preserve"> candidate</w:t>
      </w:r>
      <w:r>
        <w:rPr>
          <w:rFonts w:hint="eastAsia"/>
          <w:color w:val="000000" w:themeColor="text1"/>
          <w:sz w:val="20"/>
          <w:lang w:val="en-US"/>
        </w:rPr>
        <w:t xml:space="preserve"> </w:t>
      </w:r>
      <w:r>
        <w:rPr>
          <w:color w:val="000000" w:themeColor="text1"/>
          <w:sz w:val="20"/>
          <w:lang w:val="en-US"/>
        </w:rPr>
        <w:t>replies</w:t>
      </w:r>
      <w:r>
        <w:rPr>
          <w:rFonts w:hint="eastAsia"/>
          <w:color w:val="000000" w:themeColor="text1"/>
          <w:sz w:val="20"/>
          <w:lang w:val="en-US"/>
        </w:rPr>
        <w:t xml:space="preserve"> to the questions.</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F55F99" w:rsidRDefault="00315BFC" w:rsidP="00E67718">
      <w:pPr>
        <w:spacing w:before="0" w:after="120"/>
        <w:jc w:val="left"/>
        <w:rPr>
          <w:rFonts w:cstheme="minorHAnsi"/>
          <w:bCs/>
          <w:lang w:val="sv-SE"/>
        </w:rPr>
      </w:pPr>
      <w:r w:rsidRPr="00315BFC">
        <w:rPr>
          <w:rFonts w:hint="eastAsia"/>
          <w:color w:val="000000" w:themeColor="text1"/>
          <w:sz w:val="20"/>
          <w:lang w:val="en-US"/>
        </w:rPr>
        <w:t>The</w:t>
      </w:r>
      <w:r w:rsidR="001006CA">
        <w:rPr>
          <w:rFonts w:hint="eastAsia"/>
          <w:color w:val="000000" w:themeColor="text1"/>
          <w:sz w:val="20"/>
          <w:lang w:val="en-US"/>
        </w:rPr>
        <w:t>re</w:t>
      </w:r>
      <w:r w:rsidR="001006CA">
        <w:rPr>
          <w:color w:val="000000" w:themeColor="text1"/>
          <w:sz w:val="20"/>
          <w:lang w:val="en-US"/>
        </w:rPr>
        <w:t>’</w:t>
      </w:r>
      <w:r w:rsidR="001006CA">
        <w:rPr>
          <w:rFonts w:hint="eastAsia"/>
          <w:color w:val="000000" w:themeColor="text1"/>
          <w:sz w:val="20"/>
          <w:lang w:val="en-US"/>
        </w:rPr>
        <w:t>re 3</w:t>
      </w:r>
      <w:r w:rsidRPr="00315BFC">
        <w:rPr>
          <w:rFonts w:hint="eastAsia"/>
          <w:color w:val="000000" w:themeColor="text1"/>
          <w:sz w:val="20"/>
          <w:lang w:val="en-US"/>
        </w:rPr>
        <w:t xml:space="preserve"> question</w:t>
      </w:r>
      <w:r w:rsidR="001006CA">
        <w:rPr>
          <w:rFonts w:hint="eastAsia"/>
          <w:color w:val="000000" w:themeColor="text1"/>
          <w:sz w:val="20"/>
          <w:lang w:val="en-US"/>
        </w:rPr>
        <w:t>s</w:t>
      </w:r>
      <w:r w:rsidRPr="00315BFC">
        <w:rPr>
          <w:rFonts w:hint="eastAsia"/>
          <w:color w:val="000000" w:themeColor="text1"/>
          <w:sz w:val="20"/>
          <w:lang w:val="en-US"/>
        </w:rPr>
        <w:t xml:space="preserve"> </w:t>
      </w:r>
      <w:r w:rsidR="001006CA">
        <w:rPr>
          <w:rFonts w:hint="eastAsia"/>
          <w:color w:val="000000" w:themeColor="text1"/>
          <w:sz w:val="20"/>
          <w:lang w:val="en-US"/>
        </w:rPr>
        <w:t xml:space="preserve">in RAN1 LS, the first question is related to </w:t>
      </w:r>
      <w:r w:rsidR="001006CA">
        <w:rPr>
          <w:rFonts w:cstheme="minorHAnsi"/>
          <w:bCs/>
        </w:rPr>
        <w:t xml:space="preserve">the modelling of </w:t>
      </w:r>
      <w:r w:rsidR="001006CA">
        <w:rPr>
          <w:rFonts w:cstheme="minorHAnsi"/>
          <w:bCs/>
          <w:lang w:val="sv-SE"/>
        </w:rPr>
        <w:t>inter-site gNB-gNB co-channel inter-subband CLI</w:t>
      </w:r>
      <w:r w:rsidR="001006CA">
        <w:rPr>
          <w:rFonts w:cstheme="minorHAnsi" w:hint="eastAsia"/>
          <w:bCs/>
          <w:lang w:val="sv-SE"/>
        </w:rPr>
        <w:t>:</w:t>
      </w:r>
    </w:p>
    <w:p w:rsidR="001006CA" w:rsidRDefault="001006CA" w:rsidP="001006CA">
      <w:pPr>
        <w:widowControl w:val="0"/>
        <w:numPr>
          <w:ilvl w:val="1"/>
          <w:numId w:val="34"/>
        </w:numPr>
        <w:overflowPunct/>
        <w:autoSpaceDE/>
        <w:adjustRightInd/>
        <w:spacing w:before="0" w:after="180"/>
        <w:textAlignment w:val="auto"/>
        <w:rPr>
          <w:bCs/>
        </w:rPr>
      </w:pPr>
      <w:r>
        <w:rPr>
          <w:bCs/>
        </w:rPr>
        <w:t xml:space="preserve">RAN1 can assume </w:t>
      </w:r>
      <m:oMath>
        <m:sSub>
          <m:sSubPr>
            <m:ctrlPr>
              <w:rPr>
                <w:rFonts w:ascii="Cambria Math" w:eastAsia="Times New Roman" w:hAnsi="Cambria Math"/>
                <w:bCs/>
                <w:lang w:eastAsia="en-GB"/>
              </w:rPr>
            </m:ctrlPr>
          </m:sSubPr>
          <m:e>
            <m:r>
              <m:rPr>
                <m:sty m:val="p"/>
              </m:rPr>
              <w:rPr>
                <w:rFonts w:ascii="Cambria Math" w:hAnsi="Cambria Math"/>
              </w:rPr>
              <m:t>ICS</m:t>
            </m:r>
          </m:e>
          <m:sub>
            <m:r>
              <m:rPr>
                <m:sty m:val="p"/>
              </m:rPr>
              <w:rPr>
                <w:rFonts w:ascii="Cambria Math" w:hAnsi="Cambria Math"/>
              </w:rPr>
              <m:t>BS</m:t>
            </m:r>
          </m:sub>
        </m:sSub>
      </m:oMath>
      <w:r>
        <w:rPr>
          <w:bCs/>
        </w:rPr>
        <w:t xml:space="preserve"> (in channel selectivity) is given by gNB ACS unless further RAN4 guidance is received.</w:t>
      </w:r>
    </w:p>
    <w:p w:rsidR="001006CA" w:rsidRDefault="001006CA" w:rsidP="001006CA">
      <w:pPr>
        <w:widowControl w:val="0"/>
        <w:numPr>
          <w:ilvl w:val="2"/>
          <w:numId w:val="34"/>
        </w:numPr>
        <w:overflowPunct/>
        <w:autoSpaceDE/>
        <w:adjustRightInd/>
        <w:spacing w:before="0" w:after="180"/>
        <w:textAlignment w:val="auto"/>
        <w:rPr>
          <w:bCs/>
        </w:rPr>
      </w:pPr>
      <w:r>
        <w:rPr>
          <w:bCs/>
          <w:color w:val="FF0000"/>
        </w:rPr>
        <w:t xml:space="preserve">Send LS to RAN4 to confirm RAN1 understanding and check whether </w:t>
      </w:r>
      <m:oMath>
        <m:sSub>
          <m:sSubPr>
            <m:ctrlPr>
              <w:rPr>
                <w:rFonts w:ascii="Cambria Math" w:eastAsia="Times New Roman" w:hAnsi="Cambria Math"/>
                <w:bCs/>
                <w:color w:val="FF0000"/>
                <w:lang w:eastAsia="en-GB"/>
              </w:rPr>
            </m:ctrlPr>
          </m:sSubPr>
          <m:e>
            <m:r>
              <m:rPr>
                <m:sty m:val="p"/>
              </m:rPr>
              <w:rPr>
                <w:rFonts w:ascii="Cambria Math" w:hAnsi="Cambria Math"/>
                <w:color w:val="FF0000"/>
              </w:rPr>
              <m:t>ICS</m:t>
            </m:r>
          </m:e>
          <m:sub>
            <m:r>
              <m:rPr>
                <m:sty m:val="p"/>
              </m:rPr>
              <w:rPr>
                <w:rFonts w:ascii="Cambria Math" w:hAnsi="Cambria Math"/>
                <w:color w:val="FF0000"/>
              </w:rPr>
              <m:t>BS</m:t>
            </m:r>
          </m:sub>
        </m:sSub>
      </m:oMath>
      <w:r>
        <w:rPr>
          <w:bCs/>
          <w:color w:val="FF0000"/>
        </w:rPr>
        <w:t xml:space="preserve"> can be modelled </w:t>
      </w:r>
      <w:r>
        <w:rPr>
          <w:bCs/>
          <w:iCs/>
          <w:color w:val="FF0000"/>
        </w:rPr>
        <w:t>depending on the value of the blocker interference</w:t>
      </w:r>
      <w:r>
        <w:rPr>
          <w:bCs/>
          <w:iCs/>
        </w:rPr>
        <w:t>,</w:t>
      </w:r>
      <w:r>
        <w:rPr>
          <w:iCs/>
          <w:sz w:val="22"/>
        </w:rPr>
        <w:t xml:space="preserve"> e.g.,</w:t>
      </w:r>
    </w:p>
    <w:p w:rsidR="001006CA" w:rsidRDefault="000E54C4" w:rsidP="001006CA">
      <w:pPr>
        <w:pStyle w:val="afa"/>
        <w:spacing w:line="252" w:lineRule="auto"/>
        <w:ind w:left="760" w:firstLine="440"/>
        <w:jc w:val="center"/>
        <w:rPr>
          <w:rFonts w:ascii="Calibri" w:hAnsi="Calibri" w:cs="Calibri"/>
          <w:sz w:val="22"/>
        </w:rPr>
      </w:pPr>
      <m:oMathPara>
        <m:oMath>
          <m:sSub>
            <m:sSubPr>
              <m:ctrlPr>
                <w:rPr>
                  <w:rFonts w:ascii="Cambria Math" w:eastAsia="Calibri" w:hAnsi="Cambria Math" w:cs="Calibri"/>
                  <w:i/>
                  <w:iCs/>
                  <w:sz w:val="22"/>
                  <w:szCs w:val="22"/>
                  <w:lang w:eastAsia="en-GB"/>
                </w:rPr>
              </m:ctrlPr>
            </m:sSubPr>
            <m:e>
              <m:r>
                <w:rPr>
                  <w:rFonts w:ascii="Cambria Math" w:hAnsi="Cambria Math"/>
                </w:rPr>
                <m:t>ICS</m:t>
              </m:r>
            </m:e>
            <m:sub>
              <m:r>
                <w:rPr>
                  <w:rFonts w:ascii="Cambria Math" w:hAnsi="Cambria Math"/>
                </w:rPr>
                <m:t>BS</m:t>
              </m:r>
            </m:sub>
          </m:sSub>
          <m:r>
            <w:rPr>
              <w:rFonts w:ascii="Cambria Math" w:hAnsi="Cambria Math"/>
            </w:rPr>
            <m:t xml:space="preserve">= </m:t>
          </m:r>
          <m:d>
            <m:dPr>
              <m:begChr m:val="{"/>
              <m:endChr m:val=""/>
              <m:ctrlPr>
                <w:rPr>
                  <w:rFonts w:ascii="Cambria Math" w:eastAsia="Calibri" w:hAnsi="Cambria Math" w:cs="Calibri"/>
                  <w:i/>
                  <w:iCs/>
                  <w:sz w:val="22"/>
                  <w:szCs w:val="22"/>
                  <w:lang w:eastAsia="en-GB"/>
                </w:rPr>
              </m:ctrlPr>
            </m:dPr>
            <m:e>
              <m:m>
                <m:mPr>
                  <m:mcs>
                    <m:mc>
                      <m:mcPr>
                        <m:count m:val="1"/>
                        <m:mcJc m:val="center"/>
                      </m:mcPr>
                    </m:mc>
                  </m:mcs>
                  <m:ctrlPr>
                    <w:rPr>
                      <w:rFonts w:ascii="Cambria Math" w:eastAsia="Calibri" w:hAnsi="Cambria Math" w:cs="Calibri"/>
                      <w:i/>
                      <w:iCs/>
                      <w:sz w:val="22"/>
                      <w:szCs w:val="22"/>
                      <w:lang w:eastAsia="en-GB"/>
                    </w:rPr>
                  </m:ctrlPr>
                </m:mPr>
                <m:mr>
                  <m:e>
                    <m:r>
                      <w:rPr>
                        <w:rFonts w:ascii="Cambria Math" w:hAnsi="Cambria Math"/>
                      </w:rPr>
                      <m:t>IC</m:t>
                    </m:r>
                    <m:sSub>
                      <m:sSubPr>
                        <m:ctrlPr>
                          <w:rPr>
                            <w:rFonts w:ascii="Cambria Math" w:eastAsia="Calibri" w:hAnsi="Cambria Math" w:cs="Calibri"/>
                            <w:i/>
                            <w:iCs/>
                            <w:sz w:val="22"/>
                            <w:szCs w:val="22"/>
                            <w:lang w:eastAsia="en-GB"/>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eastAsia="Calibri" w:hAnsi="Cambria Math" w:cs="Calibri"/>
                            <w:i/>
                            <w:iCs/>
                            <w:sz w:val="22"/>
                            <w:szCs w:val="22"/>
                            <w:lang w:eastAsia="en-GB"/>
                          </w:rPr>
                        </m:ctrlPr>
                      </m:sSubPr>
                      <m:e>
                        <m:r>
                          <w:rPr>
                            <w:rFonts w:ascii="Cambria Math" w:hAnsi="Cambria Math"/>
                          </w:rPr>
                          <m:t>         P</m:t>
                        </m:r>
                      </m:e>
                      <m:sub>
                        <m:r>
                          <w:rPr>
                            <w:rFonts w:ascii="Cambria Math" w:hAnsi="Cambria Math"/>
                          </w:rPr>
                          <m:t>blocker</m:t>
                        </m:r>
                      </m:sub>
                    </m:sSub>
                    <m:r>
                      <w:rPr>
                        <w:rFonts w:ascii="Cambria Math" w:hAnsi="Cambria Math"/>
                      </w:rPr>
                      <m:t>&lt;</m:t>
                    </m:r>
                    <m:sSub>
                      <m:sSubPr>
                        <m:ctrlPr>
                          <w:rPr>
                            <w:rFonts w:ascii="Cambria Math" w:eastAsia="Calibri" w:hAnsi="Cambria Math" w:cs="Calibri"/>
                            <w:i/>
                            <w:iCs/>
                            <w:sz w:val="22"/>
                            <w:szCs w:val="22"/>
                            <w:lang w:eastAsia="en-GB"/>
                          </w:rPr>
                        </m:ctrlPr>
                      </m:sSubPr>
                      <m:e>
                        <m:r>
                          <w:rPr>
                            <w:rFonts w:ascii="Cambria Math" w:hAnsi="Cambria Math"/>
                          </w:rPr>
                          <m:t>P</m:t>
                        </m:r>
                      </m:e>
                      <m:sub>
                        <m:r>
                          <w:rPr>
                            <w:rFonts w:ascii="Cambria Math" w:hAnsi="Cambria Math"/>
                          </w:rPr>
                          <m:t>1</m:t>
                        </m:r>
                      </m:sub>
                    </m:sSub>
                  </m:e>
                </m:mr>
                <m:mr>
                  <m:e>
                    <m:r>
                      <w:rPr>
                        <w:rFonts w:ascii="Cambria Math" w:hAnsi="Cambria Math"/>
                      </w:rPr>
                      <m:t xml:space="preserve"> IC</m:t>
                    </m:r>
                    <m:sSub>
                      <m:sSubPr>
                        <m:ctrlPr>
                          <w:rPr>
                            <w:rFonts w:ascii="Cambria Math" w:eastAsia="Calibri" w:hAnsi="Cambria Math" w:cs="Calibri"/>
                            <w:i/>
                            <w:iCs/>
                            <w:sz w:val="22"/>
                            <w:szCs w:val="22"/>
                            <w:lang w:eastAsia="en-GB"/>
                          </w:rPr>
                        </m:ctrlPr>
                      </m:sSubPr>
                      <m:e>
                        <m:r>
                          <w:rPr>
                            <w:rFonts w:ascii="Cambria Math" w:hAnsi="Cambria Math"/>
                          </w:rPr>
                          <m:t>S</m:t>
                        </m:r>
                      </m:e>
                      <m:sub>
                        <m:r>
                          <w:rPr>
                            <w:rFonts w:ascii="Cambria Math" w:hAnsi="Cambria Math"/>
                          </w:rPr>
                          <m:t>2</m:t>
                        </m:r>
                      </m:sub>
                    </m:sSub>
                    <m:r>
                      <w:rPr>
                        <w:rFonts w:ascii="Cambria Math" w:hAnsi="Cambria Math"/>
                      </w:rPr>
                      <m:t>,   </m:t>
                    </m:r>
                    <m:sSub>
                      <m:sSubPr>
                        <m:ctrlPr>
                          <w:rPr>
                            <w:rFonts w:ascii="Cambria Math" w:eastAsia="Calibri" w:hAnsi="Cambria Math" w:cs="Calibri"/>
                            <w:i/>
                            <w:iCs/>
                            <w:sz w:val="22"/>
                            <w:szCs w:val="22"/>
                            <w:lang w:eastAsia="en-GB"/>
                          </w:rPr>
                        </m:ctrlPr>
                      </m:sSubPr>
                      <m:e>
                        <m:r>
                          <w:rPr>
                            <w:rFonts w:ascii="Cambria Math" w:hAnsi="Cambria Math"/>
                          </w:rPr>
                          <m:t>P</m:t>
                        </m:r>
                      </m:e>
                      <m:sub>
                        <m:r>
                          <w:rPr>
                            <w:rFonts w:ascii="Cambria Math" w:hAnsi="Cambria Math"/>
                          </w:rPr>
                          <m:t>1</m:t>
                        </m:r>
                      </m:sub>
                    </m:sSub>
                    <m:sSub>
                      <m:sSubPr>
                        <m:ctrlPr>
                          <w:rPr>
                            <w:rFonts w:ascii="Cambria Math" w:eastAsia="Calibri" w:hAnsi="Cambria Math" w:cs="Calibri"/>
                            <w:i/>
                            <w:iCs/>
                            <w:sz w:val="22"/>
                            <w:szCs w:val="22"/>
                            <w:lang w:eastAsia="en-GB"/>
                          </w:rPr>
                        </m:ctrlPr>
                      </m:sSubPr>
                      <m:e>
                        <m:r>
                          <w:rPr>
                            <w:rFonts w:ascii="Cambria Math" w:hAnsi="Cambria Math"/>
                          </w:rPr>
                          <m:t>&lt; P</m:t>
                        </m:r>
                      </m:e>
                      <m:sub>
                        <m:r>
                          <w:rPr>
                            <w:rFonts w:ascii="Cambria Math" w:hAnsi="Cambria Math"/>
                          </w:rPr>
                          <m:t>blcoker</m:t>
                        </m:r>
                      </m:sub>
                    </m:sSub>
                    <m:r>
                      <w:rPr>
                        <w:rFonts w:ascii="Cambria Math" w:hAnsi="Cambria Math"/>
                      </w:rPr>
                      <m:t>&lt;</m:t>
                    </m:r>
                    <m:sSub>
                      <m:sSubPr>
                        <m:ctrlPr>
                          <w:rPr>
                            <w:rFonts w:ascii="Cambria Math" w:eastAsia="Calibri" w:hAnsi="Cambria Math" w:cs="Calibri"/>
                            <w:i/>
                            <w:iCs/>
                            <w:sz w:val="22"/>
                            <w:szCs w:val="22"/>
                            <w:lang w:eastAsia="en-GB"/>
                          </w:rPr>
                        </m:ctrlPr>
                      </m:sSubPr>
                      <m:e>
                        <m:r>
                          <w:rPr>
                            <w:rFonts w:ascii="Cambria Math" w:hAnsi="Cambria Math"/>
                          </w:rPr>
                          <m:t>P</m:t>
                        </m:r>
                      </m:e>
                      <m:sub>
                        <m:r>
                          <w:rPr>
                            <w:rFonts w:ascii="Cambria Math" w:hAnsi="Cambria Math"/>
                          </w:rPr>
                          <m:t>2</m:t>
                        </m:r>
                      </m:sub>
                    </m:sSub>
                  </m:e>
                </m:mr>
                <m:mr>
                  <m:e>
                    <m:r>
                      <w:rPr>
                        <w:rFonts w:ascii="Cambria Math" w:hAnsi="Cambria Math"/>
                      </w:rPr>
                      <m:t>IC</m:t>
                    </m:r>
                    <m:sSub>
                      <m:sSubPr>
                        <m:ctrlPr>
                          <w:rPr>
                            <w:rFonts w:ascii="Cambria Math" w:eastAsia="Calibri" w:hAnsi="Cambria Math" w:cs="Calibri"/>
                            <w:i/>
                            <w:iCs/>
                            <w:sz w:val="22"/>
                            <w:szCs w:val="22"/>
                            <w:lang w:eastAsia="en-GB"/>
                          </w:rPr>
                        </m:ctrlPr>
                      </m:sSubPr>
                      <m:e>
                        <m:r>
                          <w:rPr>
                            <w:rFonts w:ascii="Cambria Math" w:hAnsi="Cambria Math"/>
                          </w:rPr>
                          <m:t>S</m:t>
                        </m:r>
                      </m:e>
                      <m:sub>
                        <m:r>
                          <w:rPr>
                            <w:rFonts w:ascii="Cambria Math" w:hAnsi="Cambria Math"/>
                          </w:rPr>
                          <m:t>3</m:t>
                        </m:r>
                      </m:sub>
                    </m:sSub>
                    <m:sSub>
                      <m:sSubPr>
                        <m:ctrlPr>
                          <w:rPr>
                            <w:rFonts w:ascii="Cambria Math" w:eastAsia="Calibri" w:hAnsi="Cambria Math" w:cs="Calibri"/>
                            <w:i/>
                            <w:iCs/>
                            <w:sz w:val="22"/>
                            <w:szCs w:val="22"/>
                            <w:lang w:eastAsia="en-GB"/>
                          </w:rPr>
                        </m:ctrlPr>
                      </m:sSubPr>
                      <m:e>
                        <m:r>
                          <w:rPr>
                            <w:rFonts w:ascii="Cambria Math" w:hAnsi="Cambria Math"/>
                          </w:rPr>
                          <m:t>             P</m:t>
                        </m:r>
                      </m:e>
                      <m:sub>
                        <m:r>
                          <w:rPr>
                            <w:rFonts w:ascii="Cambria Math" w:hAnsi="Cambria Math"/>
                          </w:rPr>
                          <m:t>blocker</m:t>
                        </m:r>
                      </m:sub>
                    </m:sSub>
                    <m:r>
                      <w:rPr>
                        <w:rFonts w:ascii="Cambria Math" w:hAnsi="Cambria Math"/>
                      </w:rPr>
                      <m:t>&gt;</m:t>
                    </m:r>
                    <m:sSub>
                      <m:sSubPr>
                        <m:ctrlPr>
                          <w:rPr>
                            <w:rFonts w:ascii="Cambria Math" w:eastAsia="Calibri" w:hAnsi="Cambria Math" w:cs="Calibri"/>
                            <w:i/>
                            <w:iCs/>
                            <w:sz w:val="22"/>
                            <w:szCs w:val="22"/>
                            <w:lang w:eastAsia="en-GB"/>
                          </w:rPr>
                        </m:ctrlPr>
                      </m:sSubPr>
                      <m:e>
                        <m:r>
                          <w:rPr>
                            <w:rFonts w:ascii="Cambria Math" w:hAnsi="Cambria Math"/>
                          </w:rPr>
                          <m:t>P</m:t>
                        </m:r>
                      </m:e>
                      <m:sub>
                        <m:r>
                          <w:rPr>
                            <w:rFonts w:ascii="Cambria Math" w:hAnsi="Cambria Math"/>
                          </w:rPr>
                          <m:t>2</m:t>
                        </m:r>
                      </m:sub>
                    </m:sSub>
                  </m:e>
                </m:mr>
              </m:m>
            </m:e>
          </m:d>
        </m:oMath>
      </m:oMathPara>
    </w:p>
    <w:p w:rsidR="001006CA" w:rsidRDefault="001006CA" w:rsidP="001006CA">
      <w:pPr>
        <w:widowControl w:val="0"/>
        <w:numPr>
          <w:ilvl w:val="1"/>
          <w:numId w:val="34"/>
        </w:numPr>
        <w:overflowPunct/>
        <w:autoSpaceDE/>
        <w:adjustRightInd/>
        <w:spacing w:before="0" w:after="180"/>
        <w:textAlignment w:val="auto"/>
        <w:rPr>
          <w:bCs/>
          <w:sz w:val="20"/>
        </w:rPr>
      </w:pPr>
      <w:r>
        <w:rPr>
          <w:bCs/>
        </w:rPr>
        <w:t xml:space="preserve">Note: </w:t>
      </w:r>
      <m:oMath>
        <m:sSub>
          <m:sSubPr>
            <m:ctrlPr>
              <w:rPr>
                <w:rFonts w:ascii="Cambria Math" w:eastAsia="Times New Roman" w:hAnsi="Cambria Math" w:cs="宋体"/>
                <w:sz w:val="24"/>
                <w:szCs w:val="24"/>
                <w:lang w:eastAsia="en-GB"/>
              </w:rPr>
            </m:ctrlPr>
          </m:sSubPr>
          <m:e>
            <m:r>
              <m:rPr>
                <m:sty m:val="p"/>
              </m:rPr>
              <w:rPr>
                <w:rFonts w:ascii="Cambria Math" w:hAnsi="Cambria Math"/>
              </w:rPr>
              <m:t>P</m:t>
            </m:r>
          </m:e>
          <m:sub>
            <m:r>
              <m:rPr>
                <m:sty m:val="p"/>
              </m:rPr>
              <w:rPr>
                <w:rFonts w:ascii="Cambria Math" w:hAnsi="Cambria Math"/>
              </w:rPr>
              <m:t>blocker</m:t>
            </m:r>
          </m:sub>
        </m:sSub>
      </m:oMath>
      <w:r>
        <w:t xml:space="preserve"> can be reported by companies</w:t>
      </w:r>
    </w:p>
    <w:p w:rsidR="001006CA" w:rsidRDefault="00D50478" w:rsidP="00E67718">
      <w:pPr>
        <w:spacing w:before="0" w:after="120"/>
        <w:jc w:val="left"/>
        <w:rPr>
          <w:color w:val="000000" w:themeColor="text1"/>
          <w:sz w:val="20"/>
        </w:rPr>
      </w:pPr>
      <w:r>
        <w:rPr>
          <w:rFonts w:hint="eastAsia"/>
          <w:color w:val="000000" w:themeColor="text1"/>
          <w:sz w:val="20"/>
        </w:rPr>
        <w:t>For this question, RAN1 understanding is not aligned with RAN4. First, the inter-</w:t>
      </w:r>
      <w:r w:rsidR="00E21FAE">
        <w:rPr>
          <w:rFonts w:hint="eastAsia"/>
          <w:color w:val="000000" w:themeColor="text1"/>
          <w:sz w:val="20"/>
        </w:rPr>
        <w:t>sub</w:t>
      </w:r>
      <w:r>
        <w:rPr>
          <w:rFonts w:hint="eastAsia"/>
          <w:color w:val="000000" w:themeColor="text1"/>
          <w:sz w:val="20"/>
        </w:rPr>
        <w:t>band CLI can</w:t>
      </w:r>
      <w:r>
        <w:rPr>
          <w:color w:val="000000" w:themeColor="text1"/>
          <w:sz w:val="20"/>
        </w:rPr>
        <w:t>’</w:t>
      </w:r>
      <w:r>
        <w:rPr>
          <w:rFonts w:hint="eastAsia"/>
          <w:color w:val="000000" w:themeColor="text1"/>
          <w:sz w:val="20"/>
        </w:rPr>
        <w:t>t be understood as ICS capability according to current RAN4 evaluation. Because ICS implementation doesn</w:t>
      </w:r>
      <w:r>
        <w:rPr>
          <w:color w:val="000000" w:themeColor="text1"/>
          <w:sz w:val="20"/>
        </w:rPr>
        <w:t>’</w:t>
      </w:r>
      <w:r>
        <w:rPr>
          <w:rFonts w:hint="eastAsia"/>
          <w:color w:val="000000" w:themeColor="text1"/>
          <w:sz w:val="20"/>
        </w:rPr>
        <w:t xml:space="preserve">t rely on filter rejection but inter-sub-band ACS </w:t>
      </w:r>
      <w:r>
        <w:rPr>
          <w:color w:val="000000" w:themeColor="text1"/>
          <w:sz w:val="20"/>
        </w:rPr>
        <w:t>performance</w:t>
      </w:r>
      <w:r>
        <w:rPr>
          <w:rFonts w:hint="eastAsia"/>
          <w:color w:val="000000" w:themeColor="text1"/>
          <w:sz w:val="20"/>
        </w:rPr>
        <w:t xml:space="preserve"> needs sub-band digital filter help. So the </w:t>
      </w:r>
      <w:r>
        <w:rPr>
          <w:color w:val="000000" w:themeColor="text1"/>
          <w:sz w:val="20"/>
        </w:rPr>
        <w:t>adjacent</w:t>
      </w:r>
      <w:r>
        <w:rPr>
          <w:rFonts w:hint="eastAsia"/>
          <w:color w:val="000000" w:themeColor="text1"/>
          <w:sz w:val="20"/>
        </w:rPr>
        <w:t xml:space="preserve"> SB selectivity may be more proper for this performance. Second, </w:t>
      </w:r>
      <w:r w:rsidR="001413A4">
        <w:rPr>
          <w:rFonts w:hint="eastAsia"/>
          <w:color w:val="000000" w:themeColor="text1"/>
          <w:sz w:val="20"/>
        </w:rPr>
        <w:t xml:space="preserve">the interference fall into the Rx sub-band should take both ACLR and ACS impact, i.e. similar with ACIR. Third, for </w:t>
      </w:r>
      <w:r w:rsidR="001413A4">
        <w:rPr>
          <w:rFonts w:cstheme="minorHAnsi"/>
          <w:bCs/>
          <w:lang w:val="sv-SE"/>
        </w:rPr>
        <w:t>inter-site gNB-gNB co-channel inter-subband CLI</w:t>
      </w:r>
      <w:r w:rsidR="001413A4">
        <w:rPr>
          <w:rFonts w:hint="eastAsia"/>
          <w:color w:val="000000" w:themeColor="text1"/>
          <w:sz w:val="20"/>
        </w:rPr>
        <w:t>, there</w:t>
      </w:r>
      <w:r w:rsidR="001413A4">
        <w:rPr>
          <w:color w:val="000000" w:themeColor="text1"/>
          <w:sz w:val="20"/>
        </w:rPr>
        <w:t>’</w:t>
      </w:r>
      <w:r w:rsidR="001413A4">
        <w:rPr>
          <w:rFonts w:hint="eastAsia"/>
          <w:color w:val="000000" w:themeColor="text1"/>
          <w:sz w:val="20"/>
        </w:rPr>
        <w:t>s no blocking issue because the path loss of the two gNBs is large enough. Based on the above analysis, the reply for the first question is as below,</w:t>
      </w:r>
    </w:p>
    <w:p w:rsidR="001413A4" w:rsidRPr="00F97663" w:rsidRDefault="001413A4" w:rsidP="00E67718">
      <w:pPr>
        <w:spacing w:before="0" w:after="120"/>
        <w:jc w:val="left"/>
        <w:rPr>
          <w:b/>
          <w:color w:val="000000" w:themeColor="text1"/>
          <w:sz w:val="20"/>
        </w:rPr>
      </w:pPr>
      <w:r w:rsidRPr="00F97663">
        <w:rPr>
          <w:rFonts w:hint="eastAsia"/>
          <w:b/>
          <w:color w:val="000000" w:themeColor="text1"/>
          <w:sz w:val="20"/>
        </w:rPr>
        <w:t>Answer to the question 1: The</w:t>
      </w:r>
      <w:r w:rsidRPr="00F97663">
        <w:rPr>
          <w:b/>
          <w:color w:val="000000" w:themeColor="text1"/>
          <w:sz w:val="20"/>
        </w:rPr>
        <w:t>re’</w:t>
      </w:r>
      <w:r w:rsidRPr="00F97663">
        <w:rPr>
          <w:rFonts w:hint="eastAsia"/>
          <w:b/>
          <w:color w:val="000000" w:themeColor="text1"/>
          <w:sz w:val="20"/>
        </w:rPr>
        <w:t>s no blocking issue for inter-site SBFD gNB</w:t>
      </w:r>
      <w:r w:rsidR="00E21FAE">
        <w:rPr>
          <w:rFonts w:hint="eastAsia"/>
          <w:b/>
          <w:color w:val="000000" w:themeColor="text1"/>
          <w:sz w:val="20"/>
        </w:rPr>
        <w:t>s</w:t>
      </w:r>
      <w:r w:rsidRPr="00F97663">
        <w:rPr>
          <w:rFonts w:hint="eastAsia"/>
          <w:b/>
          <w:color w:val="000000" w:themeColor="text1"/>
          <w:sz w:val="20"/>
        </w:rPr>
        <w:t>. RAN1 ICS understanding is not correct. RAN4 assumes ACLR performance for Tx sub-band signal and ACS performance for Rx sub-band that sub-band filters are assumed for Tx/Rx, which is different with ICS performance where there</w:t>
      </w:r>
      <w:r w:rsidRPr="00F97663">
        <w:rPr>
          <w:b/>
          <w:color w:val="000000" w:themeColor="text1"/>
          <w:sz w:val="20"/>
        </w:rPr>
        <w:t>’</w:t>
      </w:r>
      <w:r w:rsidRPr="00F97663">
        <w:rPr>
          <w:rFonts w:hint="eastAsia"/>
          <w:b/>
          <w:color w:val="000000" w:themeColor="text1"/>
          <w:sz w:val="20"/>
        </w:rPr>
        <w:t xml:space="preserve">s no in </w:t>
      </w:r>
      <w:r w:rsidRPr="00F97663">
        <w:rPr>
          <w:b/>
          <w:color w:val="000000" w:themeColor="text1"/>
          <w:sz w:val="20"/>
        </w:rPr>
        <w:t>channel</w:t>
      </w:r>
      <w:r w:rsidRPr="00F97663">
        <w:rPr>
          <w:rFonts w:hint="eastAsia"/>
          <w:b/>
          <w:color w:val="000000" w:themeColor="text1"/>
          <w:sz w:val="20"/>
        </w:rPr>
        <w:t xml:space="preserve"> filter. So the interference falling into the victim gNB should be </w:t>
      </w:r>
      <w:r w:rsidRPr="00F97663">
        <w:rPr>
          <w:b/>
          <w:color w:val="000000" w:themeColor="text1"/>
          <w:sz w:val="20"/>
        </w:rPr>
        <w:t>calculated</w:t>
      </w:r>
      <w:r w:rsidRPr="00F97663">
        <w:rPr>
          <w:rFonts w:hint="eastAsia"/>
          <w:b/>
          <w:color w:val="000000" w:themeColor="text1"/>
          <w:sz w:val="20"/>
        </w:rPr>
        <w:t xml:space="preserve"> </w:t>
      </w:r>
      <w:r w:rsidRPr="00F97663">
        <w:rPr>
          <w:b/>
          <w:color w:val="000000" w:themeColor="text1"/>
          <w:sz w:val="20"/>
        </w:rPr>
        <w:t>according</w:t>
      </w:r>
      <w:r w:rsidRPr="00F97663">
        <w:rPr>
          <w:rFonts w:hint="eastAsia"/>
          <w:b/>
          <w:color w:val="000000" w:themeColor="text1"/>
          <w:sz w:val="20"/>
        </w:rPr>
        <w:t xml:space="preserve"> to ACIR value.</w:t>
      </w:r>
    </w:p>
    <w:p w:rsidR="004D609A" w:rsidRDefault="00F97663" w:rsidP="00E67718">
      <w:pPr>
        <w:spacing w:before="0" w:after="120"/>
        <w:jc w:val="left"/>
        <w:rPr>
          <w:rFonts w:cstheme="minorHAnsi"/>
          <w:bCs/>
          <w:sz w:val="20"/>
          <w:szCs w:val="20"/>
        </w:rPr>
      </w:pPr>
      <w:r w:rsidRPr="00EA3160">
        <w:rPr>
          <w:rFonts w:cstheme="minorHAnsi"/>
          <w:bCs/>
          <w:sz w:val="20"/>
          <w:szCs w:val="20"/>
        </w:rPr>
        <w:t xml:space="preserve">For </w:t>
      </w:r>
      <w:r w:rsidRPr="00EA3160">
        <w:rPr>
          <w:rFonts w:cstheme="minorHAnsi" w:hint="eastAsia"/>
          <w:bCs/>
          <w:sz w:val="20"/>
          <w:szCs w:val="20"/>
        </w:rPr>
        <w:t xml:space="preserve">the second question related to </w:t>
      </w:r>
      <w:r w:rsidRPr="00EA3160">
        <w:rPr>
          <w:rFonts w:cstheme="minorHAnsi"/>
          <w:bCs/>
          <w:sz w:val="20"/>
          <w:szCs w:val="20"/>
        </w:rPr>
        <w:t>co-site inter-sector co-channel inter-subband CLI modelling,</w:t>
      </w:r>
    </w:p>
    <w:p w:rsidR="004D609A" w:rsidRPr="004D609A" w:rsidRDefault="004D609A" w:rsidP="00E67718">
      <w:pPr>
        <w:widowControl w:val="0"/>
        <w:numPr>
          <w:ilvl w:val="1"/>
          <w:numId w:val="39"/>
        </w:numPr>
        <w:overflowPunct/>
        <w:autoSpaceDE/>
        <w:adjustRightInd/>
        <w:spacing w:before="0" w:after="120"/>
        <w:jc w:val="left"/>
        <w:textAlignment w:val="auto"/>
        <w:rPr>
          <w:rFonts w:cstheme="minorHAnsi"/>
          <w:bCs/>
          <w:sz w:val="20"/>
          <w:szCs w:val="20"/>
        </w:rPr>
      </w:pPr>
      <w:r w:rsidRPr="004D609A">
        <w:rPr>
          <w:color w:val="FF0000"/>
        </w:rPr>
        <w:t xml:space="preserve">Send LS to RAN4 confirming the model and asking the value ranges for spatial isolation, and values of  </w:t>
      </w:r>
      <m:oMath>
        <m:r>
          <m:rPr>
            <m:sty m:val="p"/>
          </m:rPr>
          <w:rPr>
            <w:rFonts w:ascii="Cambria Math"/>
            <w:color w:val="FF0000"/>
          </w:rPr>
          <m:t>10</m:t>
        </m:r>
        <m:r>
          <m:rPr>
            <m:sty m:val="p"/>
          </m:rPr>
          <w:rPr>
            <w:rFonts w:ascii="Cambria Math" w:eastAsia="MS Mincho" w:hAnsi="Cambria Math" w:cs="MS Mincho" w:hint="eastAsia"/>
            <w:color w:val="FF0000"/>
          </w:rPr>
          <m:t>*</m:t>
        </m:r>
        <m:sSub>
          <m:sSubPr>
            <m:ctrlPr>
              <w:rPr>
                <w:rFonts w:ascii="Cambria Math" w:eastAsia="Times New Roman" w:hAnsi="Cambria Math"/>
                <w:iCs/>
                <w:color w:val="FF0000"/>
                <w:lang w:eastAsia="en-GB"/>
              </w:rPr>
            </m:ctrlPr>
          </m:sSubPr>
          <m:e>
            <m:r>
              <m:rPr>
                <m:sty m:val="p"/>
              </m:rPr>
              <w:rPr>
                <w:rFonts w:ascii="Cambria Math"/>
                <w:color w:val="FF0000"/>
              </w:rPr>
              <m:t>log</m:t>
            </m:r>
          </m:e>
          <m:sub>
            <m:r>
              <m:rPr>
                <m:sty m:val="p"/>
              </m:rPr>
              <w:rPr>
                <w:rFonts w:ascii="Cambria Math"/>
                <w:color w:val="FF0000"/>
              </w:rPr>
              <m:t>10</m:t>
            </m:r>
          </m:sub>
        </m:sSub>
        <m:d>
          <m:dPr>
            <m:ctrlPr>
              <w:rPr>
                <w:rFonts w:ascii="Cambria Math" w:eastAsia="Times New Roman" w:hAnsi="Cambria Math"/>
                <w:iCs/>
                <w:color w:val="FF0000"/>
                <w:lang w:eastAsia="en-GB"/>
              </w:rPr>
            </m:ctrlPr>
          </m:dPr>
          <m:e>
            <m:sSub>
              <m:sSubPr>
                <m:ctrlPr>
                  <w:rPr>
                    <w:rFonts w:ascii="Cambria Math" w:eastAsia="Times New Roman" w:hAnsi="Cambria Math"/>
                    <w:iCs/>
                    <w:color w:val="FF0000"/>
                    <w:lang w:eastAsia="en-GB"/>
                  </w:rPr>
                </m:ctrlPr>
              </m:sSubPr>
              <m:e>
                <m:r>
                  <m:rPr>
                    <m:sty m:val="p"/>
                  </m:rPr>
                  <w:rPr>
                    <w:rFonts w:ascii="Cambria Math"/>
                    <w:color w:val="FF0000"/>
                  </w:rPr>
                  <m:t>ACLR</m:t>
                </m:r>
              </m:e>
              <m:sub>
                <m:r>
                  <m:rPr>
                    <m:sty m:val="p"/>
                  </m:rPr>
                  <w:rPr>
                    <w:rFonts w:ascii="Cambria Math"/>
                    <w:color w:val="FF0000"/>
                  </w:rPr>
                  <m:t>BS</m:t>
                </m:r>
              </m:sub>
            </m:sSub>
          </m:e>
        </m:d>
      </m:oMath>
      <w:r w:rsidRPr="004D609A">
        <w:rPr>
          <w:color w:val="FF0000"/>
        </w:rPr>
        <w:t xml:space="preserve"> and  </w:t>
      </w:r>
      <m:oMath>
        <m:r>
          <m:rPr>
            <m:sty m:val="p"/>
          </m:rPr>
          <w:rPr>
            <w:rFonts w:ascii="Cambria Math"/>
            <w:color w:val="FF0000"/>
          </w:rPr>
          <m:t>10</m:t>
        </m:r>
        <m:r>
          <m:rPr>
            <m:sty m:val="p"/>
          </m:rPr>
          <w:rPr>
            <w:rFonts w:ascii="Cambria Math" w:eastAsia="MS Mincho" w:hAnsi="Cambria Math" w:cs="MS Mincho" w:hint="eastAsia"/>
            <w:color w:val="FF0000"/>
          </w:rPr>
          <m:t>*</m:t>
        </m:r>
        <m:sSub>
          <m:sSubPr>
            <m:ctrlPr>
              <w:rPr>
                <w:rFonts w:ascii="Cambria Math" w:eastAsia="Times New Roman" w:hAnsi="Cambria Math"/>
                <w:iCs/>
                <w:color w:val="FF0000"/>
                <w:lang w:eastAsia="en-GB"/>
              </w:rPr>
            </m:ctrlPr>
          </m:sSubPr>
          <m:e>
            <m:r>
              <m:rPr>
                <m:sty m:val="p"/>
              </m:rPr>
              <w:rPr>
                <w:rFonts w:ascii="Cambria Math"/>
                <w:color w:val="FF0000"/>
              </w:rPr>
              <m:t>log</m:t>
            </m:r>
          </m:e>
          <m:sub>
            <m:r>
              <m:rPr>
                <m:sty m:val="p"/>
              </m:rPr>
              <w:rPr>
                <w:rFonts w:ascii="Cambria Math"/>
                <w:color w:val="FF0000"/>
              </w:rPr>
              <m:t>10</m:t>
            </m:r>
          </m:sub>
        </m:sSub>
        <m:d>
          <m:dPr>
            <m:ctrlPr>
              <w:rPr>
                <w:rFonts w:ascii="Cambria Math" w:eastAsia="Times New Roman" w:hAnsi="Cambria Math"/>
                <w:iCs/>
                <w:color w:val="FF0000"/>
                <w:lang w:eastAsia="en-GB"/>
              </w:rPr>
            </m:ctrlPr>
          </m:dPr>
          <m:e>
            <m:sSub>
              <m:sSubPr>
                <m:ctrlPr>
                  <w:rPr>
                    <w:rFonts w:ascii="Cambria Math" w:eastAsia="Times New Roman" w:hAnsi="Cambria Math"/>
                    <w:iCs/>
                    <w:color w:val="FF0000"/>
                    <w:lang w:eastAsia="en-GB"/>
                  </w:rPr>
                </m:ctrlPr>
              </m:sSubPr>
              <m:e>
                <m:r>
                  <m:rPr>
                    <m:sty m:val="p"/>
                  </m:rPr>
                  <w:rPr>
                    <w:rFonts w:ascii="Cambria Math"/>
                    <w:color w:val="FF0000"/>
                  </w:rPr>
                  <m:t>ACS</m:t>
                </m:r>
              </m:e>
              <m:sub>
                <m:r>
                  <m:rPr>
                    <m:sty m:val="p"/>
                  </m:rPr>
                  <w:rPr>
                    <w:rFonts w:ascii="Cambria Math"/>
                    <w:color w:val="FF0000"/>
                  </w:rPr>
                  <m:t>BS</m:t>
                </m:r>
              </m:sub>
            </m:sSub>
          </m:e>
        </m:d>
      </m:oMath>
      <w:r w:rsidRPr="004D609A">
        <w:rPr>
          <w:iCs/>
          <w:color w:val="FF0000"/>
        </w:rPr>
        <w:t>.</w:t>
      </w:r>
    </w:p>
    <w:p w:rsidR="009308B7" w:rsidRPr="00EA3160" w:rsidRDefault="002F48E7" w:rsidP="00E67718">
      <w:pPr>
        <w:spacing w:before="0" w:after="120"/>
        <w:jc w:val="left"/>
        <w:rPr>
          <w:color w:val="000000" w:themeColor="text1"/>
          <w:sz w:val="20"/>
          <w:szCs w:val="20"/>
          <w:lang w:val="en-US"/>
        </w:rPr>
      </w:pPr>
      <w:r w:rsidRPr="00EA3160">
        <w:rPr>
          <w:rFonts w:cstheme="minorHAnsi" w:hint="eastAsia"/>
          <w:bCs/>
          <w:sz w:val="20"/>
          <w:szCs w:val="20"/>
        </w:rPr>
        <w:t xml:space="preserve">RAN1 understanding is </w:t>
      </w:r>
      <w:r w:rsidR="008F77E4" w:rsidRPr="00EA3160">
        <w:rPr>
          <w:rFonts w:cstheme="minorHAnsi" w:hint="eastAsia"/>
          <w:bCs/>
          <w:sz w:val="20"/>
          <w:szCs w:val="20"/>
        </w:rPr>
        <w:t xml:space="preserve">not </w:t>
      </w:r>
      <w:r w:rsidRPr="00EA3160">
        <w:rPr>
          <w:rFonts w:cstheme="minorHAnsi" w:hint="eastAsia"/>
          <w:bCs/>
          <w:sz w:val="20"/>
          <w:szCs w:val="20"/>
        </w:rPr>
        <w:t>correct</w:t>
      </w:r>
      <w:r w:rsidR="00F21063">
        <w:rPr>
          <w:rFonts w:cstheme="minorHAnsi" w:hint="eastAsia"/>
          <w:bCs/>
          <w:sz w:val="20"/>
          <w:szCs w:val="20"/>
        </w:rPr>
        <w:t xml:space="preserve"> either</w:t>
      </w:r>
      <w:r w:rsidR="008F77E4" w:rsidRPr="00EA3160">
        <w:rPr>
          <w:rFonts w:cstheme="minorHAnsi" w:hint="eastAsia"/>
          <w:bCs/>
          <w:sz w:val="20"/>
          <w:szCs w:val="20"/>
        </w:rPr>
        <w:t>. First, the</w:t>
      </w:r>
      <w:r w:rsidRPr="00EA3160">
        <w:rPr>
          <w:rFonts w:cstheme="minorHAnsi" w:hint="eastAsia"/>
          <w:bCs/>
          <w:sz w:val="20"/>
          <w:szCs w:val="20"/>
        </w:rPr>
        <w:t xml:space="preserve"> blocking issue should be considered. As the spatial isolation performance is still under discussion, it</w:t>
      </w:r>
      <w:r w:rsidRPr="00EA3160">
        <w:rPr>
          <w:rFonts w:cstheme="minorHAnsi"/>
          <w:bCs/>
          <w:sz w:val="20"/>
          <w:szCs w:val="20"/>
        </w:rPr>
        <w:t>’</w:t>
      </w:r>
      <w:r w:rsidRPr="00EA3160">
        <w:rPr>
          <w:rFonts w:cstheme="minorHAnsi" w:hint="eastAsia"/>
          <w:bCs/>
          <w:sz w:val="20"/>
          <w:szCs w:val="20"/>
        </w:rPr>
        <w:t xml:space="preserve">s not decided if the </w:t>
      </w:r>
      <w:r w:rsidRPr="00EA3160">
        <w:rPr>
          <w:rFonts w:cstheme="minorHAnsi"/>
          <w:bCs/>
          <w:sz w:val="20"/>
          <w:szCs w:val="20"/>
        </w:rPr>
        <w:t>blocking</w:t>
      </w:r>
      <w:r w:rsidRPr="00EA3160">
        <w:rPr>
          <w:rFonts w:cstheme="minorHAnsi" w:hint="eastAsia"/>
          <w:bCs/>
          <w:sz w:val="20"/>
          <w:szCs w:val="20"/>
        </w:rPr>
        <w:t xml:space="preserve"> issue </w:t>
      </w:r>
      <w:r w:rsidR="00E21FAE">
        <w:rPr>
          <w:rFonts w:cstheme="minorHAnsi" w:hint="eastAsia"/>
          <w:bCs/>
          <w:sz w:val="20"/>
          <w:szCs w:val="20"/>
        </w:rPr>
        <w:t xml:space="preserve">for co-site BS </w:t>
      </w:r>
      <w:r w:rsidRPr="00EA3160">
        <w:rPr>
          <w:rFonts w:cstheme="minorHAnsi" w:hint="eastAsia"/>
          <w:bCs/>
          <w:sz w:val="20"/>
          <w:szCs w:val="20"/>
        </w:rPr>
        <w:t>can be solved. When blocking is an issue, then the victim BS doesn</w:t>
      </w:r>
      <w:r w:rsidRPr="00EA3160">
        <w:rPr>
          <w:rFonts w:cstheme="minorHAnsi"/>
          <w:bCs/>
          <w:sz w:val="20"/>
          <w:szCs w:val="20"/>
        </w:rPr>
        <w:t>’</w:t>
      </w:r>
      <w:r w:rsidRPr="00EA3160">
        <w:rPr>
          <w:rFonts w:cstheme="minorHAnsi" w:hint="eastAsia"/>
          <w:bCs/>
          <w:sz w:val="20"/>
          <w:szCs w:val="20"/>
        </w:rPr>
        <w:t>t work properly. If there</w:t>
      </w:r>
      <w:r w:rsidRPr="00EA3160">
        <w:rPr>
          <w:rFonts w:cstheme="minorHAnsi"/>
          <w:bCs/>
          <w:sz w:val="20"/>
          <w:szCs w:val="20"/>
        </w:rPr>
        <w:t>’</w:t>
      </w:r>
      <w:r w:rsidR="009308B7" w:rsidRPr="00EA3160">
        <w:rPr>
          <w:rFonts w:cstheme="minorHAnsi" w:hint="eastAsia"/>
          <w:bCs/>
          <w:sz w:val="20"/>
          <w:szCs w:val="20"/>
        </w:rPr>
        <w:t>s</w:t>
      </w:r>
      <w:r w:rsidRPr="00EA3160">
        <w:rPr>
          <w:rFonts w:cstheme="minorHAnsi" w:hint="eastAsia"/>
          <w:bCs/>
          <w:sz w:val="20"/>
          <w:szCs w:val="20"/>
        </w:rPr>
        <w:t xml:space="preserve"> no blocking issue, </w:t>
      </w:r>
      <w:r w:rsidR="0075291B" w:rsidRPr="00EA3160">
        <w:rPr>
          <w:rFonts w:cstheme="minorHAnsi" w:hint="eastAsia"/>
          <w:bCs/>
          <w:sz w:val="20"/>
          <w:szCs w:val="20"/>
        </w:rPr>
        <w:t xml:space="preserve">the CLI model can </w:t>
      </w:r>
      <w:r w:rsidR="0075291B" w:rsidRPr="00EA3160">
        <w:rPr>
          <w:rFonts w:cstheme="minorHAnsi"/>
          <w:bCs/>
          <w:sz w:val="20"/>
          <w:szCs w:val="20"/>
        </w:rPr>
        <w:t>reuse similar method as gNB self-interference modelling</w:t>
      </w:r>
      <w:r w:rsidR="009308B7" w:rsidRPr="00EA3160">
        <w:rPr>
          <w:rFonts w:cstheme="minorHAnsi" w:hint="eastAsia"/>
          <w:bCs/>
          <w:sz w:val="20"/>
          <w:szCs w:val="20"/>
        </w:rPr>
        <w:t xml:space="preserve"> as mentioned in </w:t>
      </w:r>
      <w:r w:rsidR="009308B7" w:rsidRPr="00EA3160">
        <w:rPr>
          <w:color w:val="000000" w:themeColor="text1"/>
          <w:sz w:val="20"/>
          <w:szCs w:val="20"/>
          <w:lang w:val="en-US"/>
        </w:rPr>
        <w:t>R4-2300010</w:t>
      </w:r>
      <w:r w:rsidR="009308B7" w:rsidRPr="00EA3160">
        <w:rPr>
          <w:rFonts w:cstheme="minorHAnsi" w:hint="eastAsia"/>
          <w:bCs/>
          <w:sz w:val="20"/>
          <w:szCs w:val="20"/>
        </w:rPr>
        <w:t>. However, gNB self-</w:t>
      </w:r>
      <w:r w:rsidR="009308B7" w:rsidRPr="00EA3160">
        <w:rPr>
          <w:rFonts w:cstheme="minorHAnsi"/>
          <w:bCs/>
          <w:sz w:val="20"/>
          <w:szCs w:val="20"/>
        </w:rPr>
        <w:t>interference</w:t>
      </w:r>
      <w:r w:rsidR="009308B7" w:rsidRPr="00EA3160">
        <w:rPr>
          <w:rFonts w:cstheme="minorHAnsi" w:hint="eastAsia"/>
          <w:bCs/>
          <w:sz w:val="20"/>
          <w:szCs w:val="20"/>
        </w:rPr>
        <w:t xml:space="preserve"> analysis includes more aspects</w:t>
      </w:r>
      <w:r w:rsidR="00F21063">
        <w:rPr>
          <w:rFonts w:cstheme="minorHAnsi" w:hint="eastAsia"/>
          <w:bCs/>
          <w:sz w:val="20"/>
          <w:szCs w:val="20"/>
        </w:rPr>
        <w:t>, such as b</w:t>
      </w:r>
      <w:r w:rsidR="00F21063" w:rsidRPr="00EA3160">
        <w:rPr>
          <w:rFonts w:cstheme="minorHAnsi" w:hint="eastAsia"/>
          <w:bCs/>
          <w:sz w:val="20"/>
          <w:szCs w:val="20"/>
        </w:rPr>
        <w:t>eam nulling, Rx path IM3, digital IC</w:t>
      </w:r>
      <w:r w:rsidR="00F21063">
        <w:rPr>
          <w:rFonts w:cstheme="minorHAnsi" w:hint="eastAsia"/>
          <w:bCs/>
          <w:sz w:val="20"/>
          <w:szCs w:val="20"/>
        </w:rPr>
        <w:t>,</w:t>
      </w:r>
      <w:r w:rsidR="009308B7" w:rsidRPr="00EA3160">
        <w:rPr>
          <w:rFonts w:cstheme="minorHAnsi" w:hint="eastAsia"/>
          <w:bCs/>
          <w:sz w:val="20"/>
          <w:szCs w:val="20"/>
        </w:rPr>
        <w:t xml:space="preserve"> </w:t>
      </w:r>
      <w:r w:rsidR="00F21063">
        <w:rPr>
          <w:rFonts w:cstheme="minorHAnsi" w:hint="eastAsia"/>
          <w:bCs/>
          <w:sz w:val="20"/>
          <w:szCs w:val="20"/>
        </w:rPr>
        <w:t>than what are included in RAN1 LS.</w:t>
      </w:r>
      <w:r w:rsidR="009308B7" w:rsidRPr="00EA3160">
        <w:rPr>
          <w:rFonts w:cstheme="minorHAnsi" w:hint="eastAsia"/>
          <w:bCs/>
          <w:sz w:val="20"/>
          <w:szCs w:val="20"/>
        </w:rPr>
        <w:t xml:space="preserve"> Co-site </w:t>
      </w:r>
      <w:r w:rsidR="009308B7" w:rsidRPr="00EA3160">
        <w:rPr>
          <w:rFonts w:cstheme="minorHAnsi"/>
          <w:bCs/>
          <w:sz w:val="20"/>
          <w:szCs w:val="20"/>
        </w:rPr>
        <w:t>inter-sector co-channel inter-subband CLI model</w:t>
      </w:r>
      <w:r w:rsidR="009308B7" w:rsidRPr="00EA3160">
        <w:rPr>
          <w:rFonts w:cstheme="minorHAnsi" w:hint="eastAsia"/>
          <w:bCs/>
          <w:sz w:val="20"/>
          <w:szCs w:val="20"/>
        </w:rPr>
        <w:t xml:space="preserve"> should at least include </w:t>
      </w:r>
      <w:r w:rsidR="0023503C" w:rsidRPr="00EA3160">
        <w:rPr>
          <w:rFonts w:cstheme="minorHAnsi" w:hint="eastAsia"/>
          <w:bCs/>
          <w:sz w:val="20"/>
          <w:szCs w:val="20"/>
        </w:rPr>
        <w:t xml:space="preserve">the </w:t>
      </w:r>
      <w:r w:rsidR="0023503C" w:rsidRPr="00EA3160">
        <w:rPr>
          <w:rFonts w:cstheme="minorHAnsi"/>
          <w:bCs/>
          <w:sz w:val="20"/>
          <w:szCs w:val="20"/>
        </w:rPr>
        <w:t>contribution</w:t>
      </w:r>
      <w:r w:rsidR="00E21FAE">
        <w:rPr>
          <w:rFonts w:cstheme="minorHAnsi" w:hint="eastAsia"/>
          <w:bCs/>
          <w:sz w:val="20"/>
          <w:szCs w:val="20"/>
        </w:rPr>
        <w:t>s</w:t>
      </w:r>
      <w:r w:rsidR="0023503C" w:rsidRPr="00EA3160">
        <w:rPr>
          <w:rFonts w:cstheme="minorHAnsi" w:hint="eastAsia"/>
          <w:bCs/>
          <w:sz w:val="20"/>
          <w:szCs w:val="20"/>
        </w:rPr>
        <w:t xml:space="preserve"> from Tx ACLR, Rx ACS and </w:t>
      </w:r>
      <w:r w:rsidR="009308B7" w:rsidRPr="00EA3160">
        <w:rPr>
          <w:rFonts w:cstheme="minorHAnsi" w:hint="eastAsia"/>
          <w:bCs/>
          <w:sz w:val="20"/>
          <w:szCs w:val="20"/>
        </w:rPr>
        <w:t xml:space="preserve">Rx path IM3. Beam nulling may also help. Whether digital IC can be used is still under </w:t>
      </w:r>
      <w:r w:rsidR="0023503C" w:rsidRPr="00EA3160">
        <w:rPr>
          <w:rFonts w:cstheme="minorHAnsi" w:hint="eastAsia"/>
          <w:bCs/>
          <w:sz w:val="20"/>
          <w:szCs w:val="20"/>
        </w:rPr>
        <w:t xml:space="preserve">RAN4 </w:t>
      </w:r>
      <w:r w:rsidR="009308B7" w:rsidRPr="00EA3160">
        <w:rPr>
          <w:rFonts w:cstheme="minorHAnsi" w:hint="eastAsia"/>
          <w:bCs/>
          <w:sz w:val="20"/>
          <w:szCs w:val="20"/>
        </w:rPr>
        <w:t xml:space="preserve">discussion. So RAN1 model in </w:t>
      </w:r>
      <w:r w:rsidR="009308B7" w:rsidRPr="00EA3160">
        <w:rPr>
          <w:color w:val="000000" w:themeColor="text1"/>
          <w:sz w:val="20"/>
          <w:szCs w:val="20"/>
          <w:lang w:val="en-US"/>
        </w:rPr>
        <w:t>R4-2300010</w:t>
      </w:r>
      <w:r w:rsidR="009308B7" w:rsidRPr="00EA3160">
        <w:rPr>
          <w:rFonts w:hint="eastAsia"/>
          <w:color w:val="000000" w:themeColor="text1"/>
          <w:sz w:val="20"/>
          <w:szCs w:val="20"/>
          <w:lang w:val="en-US"/>
        </w:rPr>
        <w:t xml:space="preserve"> is not complete. In current RAN4 co-existence study, the followings are the simulation assumption for calibration,</w:t>
      </w:r>
    </w:p>
    <w:p w:rsidR="009308B7" w:rsidRDefault="009308B7" w:rsidP="00E67718">
      <w:pPr>
        <w:spacing w:before="0" w:after="120"/>
        <w:jc w:val="left"/>
        <w:rPr>
          <w:color w:val="000000" w:themeColor="text1"/>
          <w:sz w:val="20"/>
          <w:lang w:val="en-US"/>
        </w:rPr>
      </w:pPr>
      <w:r>
        <w:rPr>
          <w:rFonts w:hint="eastAsia"/>
          <w:color w:val="000000" w:themeColor="text1"/>
          <w:sz w:val="20"/>
          <w:lang w:val="en-US"/>
        </w:rPr>
        <w:lastRenderedPageBreak/>
        <w:t>========================</w:t>
      </w:r>
      <w:r w:rsidR="00CF685C">
        <w:rPr>
          <w:rFonts w:hint="eastAsia"/>
          <w:color w:val="000000" w:themeColor="text1"/>
          <w:sz w:val="20"/>
          <w:lang w:val="en-US"/>
        </w:rPr>
        <w:t>===============</w:t>
      </w:r>
    </w:p>
    <w:p w:rsidR="009308B7" w:rsidRPr="00EA3160" w:rsidRDefault="009308B7" w:rsidP="009308B7">
      <w:pPr>
        <w:pStyle w:val="5"/>
        <w:numPr>
          <w:ilvl w:val="4"/>
          <w:numId w:val="0"/>
        </w:numPr>
        <w:ind w:left="1440" w:hanging="1440"/>
        <w:rPr>
          <w:sz w:val="20"/>
        </w:rPr>
      </w:pPr>
      <w:r w:rsidRPr="00EA3160">
        <w:rPr>
          <w:sz w:val="20"/>
        </w:rPr>
        <w:t>SBFD Co-site co-channel interference consideration</w:t>
      </w:r>
    </w:p>
    <w:p w:rsidR="009308B7" w:rsidRPr="00EA3160" w:rsidRDefault="009308B7" w:rsidP="009308B7">
      <w:pPr>
        <w:rPr>
          <w:sz w:val="20"/>
          <w:szCs w:val="20"/>
        </w:rPr>
      </w:pPr>
      <w:r w:rsidRPr="00EA3160">
        <w:rPr>
          <w:sz w:val="20"/>
          <w:szCs w:val="20"/>
          <w:lang w:val="sv-SE"/>
        </w:rPr>
        <w:t>Using following assumption for calibration purpose:</w:t>
      </w:r>
    </w:p>
    <w:p w:rsidR="009308B7" w:rsidRPr="00EA3160" w:rsidRDefault="009308B7" w:rsidP="009308B7">
      <w:pPr>
        <w:pStyle w:val="afa"/>
        <w:widowControl/>
        <w:numPr>
          <w:ilvl w:val="0"/>
          <w:numId w:val="35"/>
        </w:numPr>
        <w:overflowPunct w:val="0"/>
        <w:autoSpaceDE w:val="0"/>
        <w:autoSpaceDN w:val="0"/>
        <w:adjustRightInd w:val="0"/>
        <w:spacing w:before="24" w:after="24" w:line="240" w:lineRule="auto"/>
        <w:ind w:firstLineChars="0"/>
        <w:jc w:val="left"/>
        <w:textAlignment w:val="baseline"/>
        <w:rPr>
          <w:sz w:val="20"/>
          <w:szCs w:val="20"/>
        </w:rPr>
      </w:pPr>
      <w:r w:rsidRPr="00EA3160">
        <w:rPr>
          <w:sz w:val="20"/>
          <w:szCs w:val="20"/>
          <w:lang w:val="sv-SE"/>
        </w:rPr>
        <w:t>For co-site self-interference scenario, it is assumed the interference level from gNB self-interference is: Noise floor – 6dB.</w:t>
      </w:r>
    </w:p>
    <w:p w:rsidR="009308B7" w:rsidRPr="00EA3160" w:rsidRDefault="009308B7" w:rsidP="009308B7">
      <w:pPr>
        <w:pStyle w:val="afa"/>
        <w:widowControl/>
        <w:numPr>
          <w:ilvl w:val="0"/>
          <w:numId w:val="35"/>
        </w:numPr>
        <w:overflowPunct w:val="0"/>
        <w:autoSpaceDE w:val="0"/>
        <w:autoSpaceDN w:val="0"/>
        <w:adjustRightInd w:val="0"/>
        <w:spacing w:before="24" w:after="24" w:line="240" w:lineRule="auto"/>
        <w:ind w:firstLineChars="0"/>
        <w:jc w:val="left"/>
        <w:textAlignment w:val="baseline"/>
        <w:rPr>
          <w:sz w:val="20"/>
          <w:szCs w:val="20"/>
        </w:rPr>
      </w:pPr>
      <w:r w:rsidRPr="00EA3160">
        <w:rPr>
          <w:sz w:val="20"/>
          <w:szCs w:val="20"/>
          <w:lang w:val="sv-SE"/>
        </w:rPr>
        <w:t>For co-site inter-sector scenario, it is assumed the interference level from co-site inter-sector gNBs is: Noise floor + X dB</w:t>
      </w:r>
    </w:p>
    <w:p w:rsidR="009308B7" w:rsidRPr="00EA3160" w:rsidRDefault="009308B7" w:rsidP="009308B7">
      <w:pPr>
        <w:pStyle w:val="afa"/>
        <w:widowControl/>
        <w:numPr>
          <w:ilvl w:val="1"/>
          <w:numId w:val="35"/>
        </w:numPr>
        <w:overflowPunct w:val="0"/>
        <w:autoSpaceDE w:val="0"/>
        <w:autoSpaceDN w:val="0"/>
        <w:adjustRightInd w:val="0"/>
        <w:spacing w:before="24" w:after="24" w:line="240" w:lineRule="auto"/>
        <w:ind w:firstLineChars="0"/>
        <w:jc w:val="left"/>
        <w:textAlignment w:val="baseline"/>
        <w:rPr>
          <w:sz w:val="20"/>
          <w:szCs w:val="20"/>
        </w:rPr>
      </w:pPr>
      <w:r w:rsidRPr="00EA3160">
        <w:rPr>
          <w:sz w:val="20"/>
          <w:szCs w:val="20"/>
          <w:lang w:val="sv-SE"/>
        </w:rPr>
        <w:t>For medium and local BS: X = -6 dB;</w:t>
      </w:r>
    </w:p>
    <w:p w:rsidR="009308B7" w:rsidRPr="00EA3160" w:rsidRDefault="009308B7" w:rsidP="009308B7">
      <w:pPr>
        <w:pStyle w:val="afa"/>
        <w:widowControl/>
        <w:numPr>
          <w:ilvl w:val="1"/>
          <w:numId w:val="35"/>
        </w:numPr>
        <w:overflowPunct w:val="0"/>
        <w:autoSpaceDE w:val="0"/>
        <w:autoSpaceDN w:val="0"/>
        <w:adjustRightInd w:val="0"/>
        <w:spacing w:before="24" w:after="24" w:line="240" w:lineRule="auto"/>
        <w:ind w:firstLineChars="0"/>
        <w:jc w:val="left"/>
        <w:textAlignment w:val="baseline"/>
        <w:rPr>
          <w:sz w:val="20"/>
          <w:szCs w:val="20"/>
        </w:rPr>
      </w:pPr>
      <w:r w:rsidRPr="00EA3160">
        <w:rPr>
          <w:sz w:val="20"/>
          <w:szCs w:val="20"/>
          <w:lang w:val="sv-SE"/>
        </w:rPr>
        <w:t>For wide-area BS: X = -6 dB.</w:t>
      </w:r>
    </w:p>
    <w:p w:rsidR="009308B7" w:rsidRPr="00EA3160" w:rsidRDefault="009308B7" w:rsidP="009308B7">
      <w:pPr>
        <w:pStyle w:val="afa"/>
        <w:widowControl/>
        <w:numPr>
          <w:ilvl w:val="1"/>
          <w:numId w:val="35"/>
        </w:numPr>
        <w:overflowPunct w:val="0"/>
        <w:autoSpaceDE w:val="0"/>
        <w:autoSpaceDN w:val="0"/>
        <w:adjustRightInd w:val="0"/>
        <w:spacing w:before="24" w:after="24" w:line="240" w:lineRule="auto"/>
        <w:ind w:firstLineChars="0"/>
        <w:jc w:val="left"/>
        <w:textAlignment w:val="baseline"/>
        <w:rPr>
          <w:sz w:val="20"/>
          <w:szCs w:val="20"/>
        </w:rPr>
      </w:pPr>
      <w:r w:rsidRPr="00EA3160">
        <w:rPr>
          <w:sz w:val="20"/>
          <w:szCs w:val="20"/>
        </w:rPr>
        <w:t>Note 1: this is the sum of all inter-sector gNB-gNB CLI per site.</w:t>
      </w:r>
    </w:p>
    <w:p w:rsidR="009308B7" w:rsidRPr="00EA3160" w:rsidRDefault="009308B7" w:rsidP="009308B7">
      <w:pPr>
        <w:pStyle w:val="afa"/>
        <w:widowControl/>
        <w:numPr>
          <w:ilvl w:val="1"/>
          <w:numId w:val="35"/>
        </w:numPr>
        <w:overflowPunct w:val="0"/>
        <w:autoSpaceDE w:val="0"/>
        <w:autoSpaceDN w:val="0"/>
        <w:adjustRightInd w:val="0"/>
        <w:spacing w:before="24" w:after="24" w:line="240" w:lineRule="auto"/>
        <w:ind w:firstLineChars="0"/>
        <w:jc w:val="left"/>
        <w:textAlignment w:val="baseline"/>
        <w:rPr>
          <w:sz w:val="20"/>
          <w:szCs w:val="20"/>
        </w:rPr>
      </w:pPr>
      <w:r w:rsidRPr="00EA3160">
        <w:rPr>
          <w:sz w:val="20"/>
          <w:szCs w:val="20"/>
        </w:rPr>
        <w:t xml:space="preserve">Note 2: Final co-existence study simulation set-up need to be aligned with the conclusion on co-site inter-sector interference modelling and isolation. </w:t>
      </w:r>
    </w:p>
    <w:p w:rsidR="009308B7" w:rsidRPr="00EA3160" w:rsidRDefault="009308B7" w:rsidP="009308B7">
      <w:pPr>
        <w:pStyle w:val="afa"/>
        <w:widowControl/>
        <w:numPr>
          <w:ilvl w:val="1"/>
          <w:numId w:val="35"/>
        </w:numPr>
        <w:overflowPunct w:val="0"/>
        <w:autoSpaceDE w:val="0"/>
        <w:autoSpaceDN w:val="0"/>
        <w:adjustRightInd w:val="0"/>
        <w:spacing w:before="24" w:after="24" w:line="240" w:lineRule="auto"/>
        <w:ind w:firstLineChars="0"/>
        <w:jc w:val="left"/>
        <w:textAlignment w:val="baseline"/>
        <w:rPr>
          <w:sz w:val="20"/>
          <w:szCs w:val="20"/>
        </w:rPr>
      </w:pPr>
      <w:r w:rsidRPr="00EA3160">
        <w:rPr>
          <w:sz w:val="20"/>
          <w:szCs w:val="20"/>
        </w:rPr>
        <w:t xml:space="preserve">Note 3: for FR1 wide-area, this means the inter-sector isolation should be not less than [144dB] </w:t>
      </w:r>
    </w:p>
    <w:p w:rsidR="009308B7" w:rsidRPr="009308B7" w:rsidRDefault="009308B7" w:rsidP="00E67718">
      <w:pPr>
        <w:spacing w:before="0" w:after="120"/>
        <w:jc w:val="left"/>
        <w:rPr>
          <w:color w:val="000000" w:themeColor="text1"/>
          <w:sz w:val="20"/>
        </w:rPr>
      </w:pPr>
      <w:r>
        <w:rPr>
          <w:rFonts w:hint="eastAsia"/>
          <w:color w:val="000000" w:themeColor="text1"/>
          <w:sz w:val="20"/>
        </w:rPr>
        <w:t>=============================</w:t>
      </w:r>
      <w:r w:rsidR="00CF685C">
        <w:rPr>
          <w:rFonts w:hint="eastAsia"/>
          <w:color w:val="000000" w:themeColor="text1"/>
          <w:sz w:val="20"/>
        </w:rPr>
        <w:t>=========</w:t>
      </w:r>
    </w:p>
    <w:p w:rsidR="009308B7" w:rsidRPr="00EA3160" w:rsidRDefault="009308B7" w:rsidP="00E67718">
      <w:pPr>
        <w:spacing w:before="0" w:after="120"/>
        <w:jc w:val="left"/>
        <w:rPr>
          <w:color w:val="000000" w:themeColor="text1"/>
          <w:sz w:val="20"/>
          <w:szCs w:val="20"/>
          <w:lang w:val="en-US"/>
        </w:rPr>
      </w:pPr>
      <w:r w:rsidRPr="00EA3160">
        <w:rPr>
          <w:rFonts w:hint="eastAsia"/>
          <w:color w:val="000000" w:themeColor="text1"/>
          <w:sz w:val="20"/>
          <w:szCs w:val="20"/>
          <w:lang w:val="en-US"/>
        </w:rPr>
        <w:t>RAN1 can use the above assumption as current input and update according to RAN</w:t>
      </w:r>
      <w:r w:rsidR="00F21063">
        <w:rPr>
          <w:rFonts w:hint="eastAsia"/>
          <w:color w:val="000000" w:themeColor="text1"/>
          <w:sz w:val="20"/>
          <w:szCs w:val="20"/>
          <w:lang w:val="en-US"/>
        </w:rPr>
        <w:t>4</w:t>
      </w:r>
      <w:r w:rsidRPr="00EA3160">
        <w:rPr>
          <w:rFonts w:hint="eastAsia"/>
          <w:color w:val="000000" w:themeColor="text1"/>
          <w:sz w:val="20"/>
          <w:szCs w:val="20"/>
          <w:lang w:val="en-US"/>
        </w:rPr>
        <w:t xml:space="preserve"> feedback. So the reply for question 2 can be considered as following,</w:t>
      </w:r>
    </w:p>
    <w:p w:rsidR="009308B7" w:rsidRPr="00EA3160" w:rsidRDefault="008F77E4" w:rsidP="00E67718">
      <w:pPr>
        <w:spacing w:before="0" w:after="120"/>
        <w:jc w:val="left"/>
        <w:rPr>
          <w:b/>
          <w:sz w:val="20"/>
          <w:szCs w:val="20"/>
        </w:rPr>
      </w:pPr>
      <w:r w:rsidRPr="00EA3160">
        <w:rPr>
          <w:b/>
          <w:bCs/>
          <w:sz w:val="20"/>
          <w:szCs w:val="20"/>
        </w:rPr>
        <w:t xml:space="preserve">Answer to the question </w:t>
      </w:r>
      <w:r w:rsidR="00EA3160" w:rsidRPr="00EA3160">
        <w:rPr>
          <w:b/>
          <w:bCs/>
          <w:sz w:val="20"/>
          <w:szCs w:val="20"/>
        </w:rPr>
        <w:t>2</w:t>
      </w:r>
      <w:r w:rsidRPr="00EA3160">
        <w:rPr>
          <w:b/>
          <w:bCs/>
          <w:sz w:val="20"/>
          <w:szCs w:val="20"/>
        </w:rPr>
        <w:t xml:space="preserve">: RAN1 consideration for the </w:t>
      </w:r>
      <w:r w:rsidR="0023503C" w:rsidRPr="00EA3160">
        <w:rPr>
          <w:b/>
          <w:bCs/>
          <w:sz w:val="20"/>
          <w:szCs w:val="20"/>
        </w:rPr>
        <w:t>co-site inter-sector co-channel inter-subband CLI modelling is not complete. The blocking issue should be considered and the contribution to interference power is not complete either. RAN1 can use the following assumption and update when RAN4 updates the evaluation results.</w:t>
      </w:r>
    </w:p>
    <w:p w:rsidR="0023503C" w:rsidRPr="00EA3160" w:rsidRDefault="0023503C" w:rsidP="0023503C">
      <w:pPr>
        <w:spacing w:before="0" w:after="120"/>
        <w:ind w:firstLine="420"/>
        <w:jc w:val="left"/>
        <w:rPr>
          <w:b/>
          <w:bCs/>
          <w:sz w:val="20"/>
          <w:szCs w:val="20"/>
        </w:rPr>
      </w:pPr>
      <w:r w:rsidRPr="00EA3160">
        <w:rPr>
          <w:b/>
          <w:bCs/>
          <w:sz w:val="20"/>
          <w:szCs w:val="20"/>
        </w:rPr>
        <w:t xml:space="preserve">SBFD </w:t>
      </w:r>
      <w:r w:rsidR="00F21063">
        <w:rPr>
          <w:rFonts w:hint="eastAsia"/>
          <w:b/>
          <w:bCs/>
          <w:sz w:val="20"/>
          <w:szCs w:val="20"/>
        </w:rPr>
        <w:t>c</w:t>
      </w:r>
      <w:r w:rsidRPr="00EA3160">
        <w:rPr>
          <w:b/>
          <w:bCs/>
          <w:sz w:val="20"/>
          <w:szCs w:val="20"/>
        </w:rPr>
        <w:t>o-site co-channel interference consideration</w:t>
      </w:r>
    </w:p>
    <w:p w:rsidR="0023503C" w:rsidRPr="00EA3160" w:rsidRDefault="0023503C" w:rsidP="0023503C">
      <w:pPr>
        <w:ind w:leftChars="300" w:left="630"/>
        <w:rPr>
          <w:b/>
          <w:sz w:val="20"/>
          <w:szCs w:val="20"/>
        </w:rPr>
      </w:pPr>
      <w:r w:rsidRPr="00EA3160">
        <w:rPr>
          <w:b/>
          <w:sz w:val="20"/>
          <w:szCs w:val="20"/>
          <w:lang w:val="sv-SE"/>
        </w:rPr>
        <w:t>Using following assumption for calibration purpose:</w:t>
      </w:r>
    </w:p>
    <w:p w:rsidR="0023503C" w:rsidRPr="00EA3160" w:rsidRDefault="0023503C" w:rsidP="0023503C">
      <w:pPr>
        <w:pStyle w:val="afa"/>
        <w:widowControl/>
        <w:numPr>
          <w:ilvl w:val="0"/>
          <w:numId w:val="35"/>
        </w:numPr>
        <w:overflowPunct w:val="0"/>
        <w:autoSpaceDE w:val="0"/>
        <w:autoSpaceDN w:val="0"/>
        <w:adjustRightInd w:val="0"/>
        <w:spacing w:before="24" w:after="24" w:line="240" w:lineRule="auto"/>
        <w:ind w:leftChars="300" w:left="1050" w:firstLineChars="0"/>
        <w:jc w:val="left"/>
        <w:textAlignment w:val="baseline"/>
        <w:rPr>
          <w:b/>
          <w:sz w:val="20"/>
          <w:szCs w:val="20"/>
        </w:rPr>
      </w:pPr>
      <w:r w:rsidRPr="00EA3160">
        <w:rPr>
          <w:b/>
          <w:sz w:val="20"/>
          <w:szCs w:val="20"/>
          <w:lang w:val="sv-SE"/>
        </w:rPr>
        <w:t>For co-site self-interference scenario, it is assumed the interference level from gNB self-interference is: Noise floor – 6dB.</w:t>
      </w:r>
    </w:p>
    <w:p w:rsidR="0023503C" w:rsidRPr="00EA3160" w:rsidRDefault="0023503C" w:rsidP="0023503C">
      <w:pPr>
        <w:pStyle w:val="afa"/>
        <w:widowControl/>
        <w:numPr>
          <w:ilvl w:val="0"/>
          <w:numId w:val="35"/>
        </w:numPr>
        <w:overflowPunct w:val="0"/>
        <w:autoSpaceDE w:val="0"/>
        <w:autoSpaceDN w:val="0"/>
        <w:adjustRightInd w:val="0"/>
        <w:spacing w:before="24" w:after="24" w:line="240" w:lineRule="auto"/>
        <w:ind w:leftChars="300" w:left="1050" w:firstLineChars="0"/>
        <w:jc w:val="left"/>
        <w:textAlignment w:val="baseline"/>
        <w:rPr>
          <w:b/>
          <w:sz w:val="20"/>
          <w:szCs w:val="20"/>
        </w:rPr>
      </w:pPr>
      <w:r w:rsidRPr="00EA3160">
        <w:rPr>
          <w:b/>
          <w:sz w:val="20"/>
          <w:szCs w:val="20"/>
          <w:lang w:val="sv-SE"/>
        </w:rPr>
        <w:t>For co-site inter-sector scenario, it is assumed the interference level from co-site inter-sector gNBs is: Noise floor + X dB</w:t>
      </w:r>
    </w:p>
    <w:p w:rsidR="0023503C" w:rsidRPr="00EA3160" w:rsidRDefault="0023503C" w:rsidP="0023503C">
      <w:pPr>
        <w:pStyle w:val="afa"/>
        <w:widowControl/>
        <w:numPr>
          <w:ilvl w:val="1"/>
          <w:numId w:val="35"/>
        </w:numPr>
        <w:overflowPunct w:val="0"/>
        <w:autoSpaceDE w:val="0"/>
        <w:autoSpaceDN w:val="0"/>
        <w:adjustRightInd w:val="0"/>
        <w:spacing w:before="24" w:after="24" w:line="240" w:lineRule="auto"/>
        <w:ind w:leftChars="500" w:left="1470" w:firstLineChars="0"/>
        <w:jc w:val="left"/>
        <w:textAlignment w:val="baseline"/>
        <w:rPr>
          <w:b/>
          <w:sz w:val="20"/>
          <w:szCs w:val="20"/>
        </w:rPr>
      </w:pPr>
      <w:r w:rsidRPr="00EA3160">
        <w:rPr>
          <w:b/>
          <w:sz w:val="20"/>
          <w:szCs w:val="20"/>
          <w:lang w:val="sv-SE"/>
        </w:rPr>
        <w:t>For medium and local BS: X = -6 dB;</w:t>
      </w:r>
    </w:p>
    <w:p w:rsidR="0023503C" w:rsidRPr="00EA3160" w:rsidRDefault="0023503C" w:rsidP="0023503C">
      <w:pPr>
        <w:pStyle w:val="afa"/>
        <w:widowControl/>
        <w:numPr>
          <w:ilvl w:val="1"/>
          <w:numId w:val="35"/>
        </w:numPr>
        <w:overflowPunct w:val="0"/>
        <w:autoSpaceDE w:val="0"/>
        <w:autoSpaceDN w:val="0"/>
        <w:adjustRightInd w:val="0"/>
        <w:spacing w:before="24" w:after="24" w:line="240" w:lineRule="auto"/>
        <w:ind w:leftChars="500" w:left="1470" w:firstLineChars="0"/>
        <w:jc w:val="left"/>
        <w:textAlignment w:val="baseline"/>
        <w:rPr>
          <w:b/>
          <w:sz w:val="20"/>
          <w:szCs w:val="20"/>
        </w:rPr>
      </w:pPr>
      <w:r w:rsidRPr="00EA3160">
        <w:rPr>
          <w:b/>
          <w:sz w:val="20"/>
          <w:szCs w:val="20"/>
          <w:lang w:val="sv-SE"/>
        </w:rPr>
        <w:t>For wide-area BS: X = -6 dB.</w:t>
      </w:r>
    </w:p>
    <w:p w:rsidR="0023503C" w:rsidRPr="00EA3160" w:rsidRDefault="0023503C" w:rsidP="0023503C">
      <w:pPr>
        <w:pStyle w:val="afa"/>
        <w:widowControl/>
        <w:numPr>
          <w:ilvl w:val="1"/>
          <w:numId w:val="35"/>
        </w:numPr>
        <w:overflowPunct w:val="0"/>
        <w:autoSpaceDE w:val="0"/>
        <w:autoSpaceDN w:val="0"/>
        <w:adjustRightInd w:val="0"/>
        <w:spacing w:before="24" w:after="24" w:line="240" w:lineRule="auto"/>
        <w:ind w:leftChars="500" w:left="1470" w:firstLineChars="0"/>
        <w:jc w:val="left"/>
        <w:textAlignment w:val="baseline"/>
        <w:rPr>
          <w:b/>
          <w:sz w:val="20"/>
          <w:szCs w:val="20"/>
        </w:rPr>
      </w:pPr>
      <w:r w:rsidRPr="00EA3160">
        <w:rPr>
          <w:b/>
          <w:sz w:val="20"/>
          <w:szCs w:val="20"/>
        </w:rPr>
        <w:t>Note 1: this is the sum of all inter-sector gNB-gNB CLI per site.</w:t>
      </w:r>
    </w:p>
    <w:p w:rsidR="0023503C" w:rsidRPr="00EA3160" w:rsidRDefault="0023503C" w:rsidP="0023503C">
      <w:pPr>
        <w:pStyle w:val="afa"/>
        <w:widowControl/>
        <w:numPr>
          <w:ilvl w:val="1"/>
          <w:numId w:val="35"/>
        </w:numPr>
        <w:overflowPunct w:val="0"/>
        <w:autoSpaceDE w:val="0"/>
        <w:autoSpaceDN w:val="0"/>
        <w:adjustRightInd w:val="0"/>
        <w:spacing w:before="24" w:after="24" w:line="240" w:lineRule="auto"/>
        <w:ind w:leftChars="500" w:left="1470" w:firstLineChars="0"/>
        <w:jc w:val="left"/>
        <w:textAlignment w:val="baseline"/>
        <w:rPr>
          <w:b/>
          <w:sz w:val="20"/>
          <w:szCs w:val="20"/>
        </w:rPr>
      </w:pPr>
      <w:r w:rsidRPr="00EA3160">
        <w:rPr>
          <w:b/>
          <w:sz w:val="20"/>
          <w:szCs w:val="20"/>
        </w:rPr>
        <w:t xml:space="preserve">Note 2: Final co-existence study simulation set-up need to be aligned with the conclusion on co-site inter-sector interference modelling and isolation. </w:t>
      </w:r>
    </w:p>
    <w:p w:rsidR="0023503C" w:rsidRPr="00EA3160" w:rsidRDefault="0023503C" w:rsidP="0023503C">
      <w:pPr>
        <w:pStyle w:val="afa"/>
        <w:widowControl/>
        <w:numPr>
          <w:ilvl w:val="1"/>
          <w:numId w:val="35"/>
        </w:numPr>
        <w:overflowPunct w:val="0"/>
        <w:autoSpaceDE w:val="0"/>
        <w:autoSpaceDN w:val="0"/>
        <w:adjustRightInd w:val="0"/>
        <w:spacing w:before="24" w:after="24" w:line="240" w:lineRule="auto"/>
        <w:ind w:leftChars="500" w:left="1470" w:firstLineChars="0"/>
        <w:jc w:val="left"/>
        <w:textAlignment w:val="baseline"/>
        <w:rPr>
          <w:b/>
          <w:sz w:val="20"/>
          <w:szCs w:val="20"/>
        </w:rPr>
      </w:pPr>
      <w:r w:rsidRPr="00EA3160">
        <w:rPr>
          <w:b/>
          <w:sz w:val="20"/>
          <w:szCs w:val="20"/>
        </w:rPr>
        <w:t xml:space="preserve">Note 3: for FR1 wide-area, this means the inter-sector isolation should be not less than [144dB] </w:t>
      </w:r>
    </w:p>
    <w:p w:rsidR="009308B7" w:rsidRPr="00EA3160" w:rsidRDefault="009308B7" w:rsidP="00E67718">
      <w:pPr>
        <w:spacing w:before="0" w:after="120"/>
        <w:jc w:val="left"/>
        <w:rPr>
          <w:color w:val="000000" w:themeColor="text1"/>
          <w:sz w:val="20"/>
          <w:szCs w:val="20"/>
        </w:rPr>
      </w:pPr>
    </w:p>
    <w:p w:rsidR="009308B7" w:rsidRPr="00EA3160" w:rsidRDefault="00EA3160" w:rsidP="00E67718">
      <w:pPr>
        <w:spacing w:before="0" w:after="120"/>
        <w:jc w:val="left"/>
        <w:rPr>
          <w:color w:val="000000" w:themeColor="text1"/>
          <w:sz w:val="20"/>
          <w:szCs w:val="20"/>
          <w:lang w:val="en-US"/>
        </w:rPr>
      </w:pPr>
      <w:r w:rsidRPr="00EA3160">
        <w:rPr>
          <w:color w:val="000000" w:themeColor="text1"/>
          <w:sz w:val="20"/>
          <w:szCs w:val="20"/>
          <w:lang w:val="en-US"/>
        </w:rPr>
        <w:t>For the following question,</w:t>
      </w:r>
    </w:p>
    <w:p w:rsidR="00EA3160" w:rsidRPr="00EA3160" w:rsidRDefault="00EA3160" w:rsidP="00EA3160">
      <w:pPr>
        <w:numPr>
          <w:ilvl w:val="0"/>
          <w:numId w:val="36"/>
        </w:numPr>
        <w:spacing w:before="0" w:after="180"/>
        <w:jc w:val="left"/>
        <w:textAlignment w:val="auto"/>
        <w:rPr>
          <w:bCs/>
          <w:color w:val="FF0000"/>
          <w:sz w:val="20"/>
          <w:szCs w:val="20"/>
        </w:rPr>
      </w:pPr>
      <w:r w:rsidRPr="00EA3160">
        <w:rPr>
          <w:bCs/>
          <w:color w:val="FF0000"/>
          <w:sz w:val="20"/>
          <w:szCs w:val="20"/>
        </w:rPr>
        <w:t xml:space="preserve">Send LS to RAN4 to ask them whether it can be modelled as </w:t>
      </w:r>
      <w:r w:rsidRPr="00EA3160">
        <w:rPr>
          <w:color w:val="FF0000"/>
          <w:sz w:val="20"/>
          <w:szCs w:val="20"/>
        </w:rPr>
        <w:t xml:space="preserve">an equivalent frequency flat model (e.g., </w:t>
      </w:r>
      <m:oMath>
        <m:sSub>
          <m:sSubPr>
            <m:ctrlPr>
              <w:rPr>
                <w:rFonts w:ascii="Cambria Math" w:eastAsia="Times New Roman" w:hAnsi="Cambria Math"/>
                <w:color w:val="FF0000"/>
                <w:sz w:val="20"/>
                <w:szCs w:val="20"/>
                <w:lang w:eastAsia="en-GB"/>
              </w:rPr>
            </m:ctrlPr>
          </m:sSubPr>
          <m:e>
            <m:r>
              <m:rPr>
                <m:sty m:val="p"/>
              </m:rPr>
              <w:rPr>
                <w:rFonts w:ascii="Cambria Math" w:hAnsi="Cambria Math"/>
                <w:color w:val="FF0000"/>
                <w:sz w:val="20"/>
                <w:szCs w:val="20"/>
              </w:rPr>
              <m:t>IBE</m:t>
            </m:r>
          </m:e>
          <m:sub>
            <m:r>
              <m:rPr>
                <m:sty m:val="p"/>
              </m:rPr>
              <w:rPr>
                <w:rFonts w:ascii="Cambria Math" w:hAnsi="Cambria Math"/>
                <w:color w:val="FF0000"/>
                <w:sz w:val="20"/>
                <w:szCs w:val="20"/>
              </w:rPr>
              <m:t>UE,ave</m:t>
            </m:r>
          </m:sub>
        </m:sSub>
      </m:oMath>
      <w:r w:rsidRPr="00EA3160">
        <w:rPr>
          <w:color w:val="FF0000"/>
          <w:sz w:val="20"/>
          <w:szCs w:val="20"/>
        </w:rPr>
        <w:t xml:space="preserve">) based on RAN4 IBE requirement, and if possible, what is </w:t>
      </w:r>
      <w:r w:rsidRPr="00EA3160">
        <w:rPr>
          <w:iCs/>
          <w:color w:val="FF0000"/>
          <w:sz w:val="20"/>
          <w:szCs w:val="20"/>
        </w:rPr>
        <w:t xml:space="preserve">the value of </w:t>
      </w:r>
      <m:oMath>
        <m:sSub>
          <m:sSubPr>
            <m:ctrlPr>
              <w:rPr>
                <w:rFonts w:ascii="Cambria Math" w:eastAsia="Times New Roman" w:hAnsi="Cambria Math"/>
                <w:iCs/>
                <w:color w:val="FF0000"/>
                <w:sz w:val="20"/>
                <w:szCs w:val="20"/>
                <w:lang w:eastAsia="en-GB"/>
              </w:rPr>
            </m:ctrlPr>
          </m:sSubPr>
          <m:e>
            <m:r>
              <m:rPr>
                <m:sty m:val="p"/>
              </m:rPr>
              <w:rPr>
                <w:rFonts w:ascii="Cambria Math" w:hAnsi="Cambria Math"/>
                <w:color w:val="FF0000"/>
                <w:sz w:val="20"/>
                <w:szCs w:val="20"/>
              </w:rPr>
              <m:t>IBE</m:t>
            </m:r>
          </m:e>
          <m:sub>
            <m:r>
              <m:rPr>
                <m:sty m:val="p"/>
              </m:rPr>
              <w:rPr>
                <w:rFonts w:ascii="Cambria Math" w:hAnsi="Cambria Math"/>
                <w:color w:val="FF0000"/>
                <w:sz w:val="20"/>
                <w:szCs w:val="20"/>
              </w:rPr>
              <m:t>UE,ave</m:t>
            </m:r>
          </m:sub>
        </m:sSub>
      </m:oMath>
    </w:p>
    <w:p w:rsidR="00EA3160" w:rsidRPr="00EA3160" w:rsidRDefault="00EA3160" w:rsidP="00E67718">
      <w:pPr>
        <w:spacing w:before="0" w:after="120"/>
        <w:jc w:val="left"/>
        <w:rPr>
          <w:color w:val="000000" w:themeColor="text1"/>
          <w:sz w:val="20"/>
          <w:szCs w:val="20"/>
        </w:rPr>
      </w:pPr>
      <w:r w:rsidRPr="00EA3160">
        <w:rPr>
          <w:color w:val="000000" w:themeColor="text1"/>
          <w:sz w:val="20"/>
          <w:szCs w:val="20"/>
        </w:rPr>
        <w:t>Our understanding is that it’s a li</w:t>
      </w:r>
      <w:bookmarkStart w:id="2" w:name="_GoBack"/>
      <w:bookmarkEnd w:id="2"/>
      <w:r w:rsidRPr="00EA3160">
        <w:rPr>
          <w:color w:val="000000" w:themeColor="text1"/>
          <w:sz w:val="20"/>
          <w:szCs w:val="20"/>
        </w:rPr>
        <w:t>ttle difficult for RAN4 to re-open this discussion when there’s already agreement in RAN4. So our proposal is that keep current agreement that still use IBE model in TS 38.101.</w:t>
      </w:r>
    </w:p>
    <w:p w:rsidR="001006CA" w:rsidRPr="00EA3160" w:rsidRDefault="00EA3160" w:rsidP="00E67718">
      <w:pPr>
        <w:spacing w:before="0" w:after="120"/>
        <w:jc w:val="left"/>
        <w:rPr>
          <w:b/>
          <w:bCs/>
          <w:sz w:val="20"/>
          <w:szCs w:val="20"/>
        </w:rPr>
      </w:pPr>
      <w:r w:rsidRPr="00EA3160">
        <w:rPr>
          <w:b/>
          <w:bCs/>
          <w:sz w:val="20"/>
          <w:szCs w:val="20"/>
        </w:rPr>
        <w:t>Answer to the question 3: RAN4 has agreed that IBE-based model as mentioned in R4-2220243, please RAN1 use that model in the simulation.</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AD4A4F" w:rsidRPr="00EA3160" w:rsidRDefault="00F21063" w:rsidP="00427ECC">
      <w:pPr>
        <w:spacing w:before="0" w:after="120"/>
        <w:jc w:val="left"/>
        <w:rPr>
          <w:sz w:val="20"/>
          <w:szCs w:val="20"/>
        </w:rPr>
      </w:pPr>
      <w:r>
        <w:rPr>
          <w:sz w:val="20"/>
          <w:szCs w:val="20"/>
        </w:rPr>
        <w:t xml:space="preserve">This contribution provides our analysis for the questions in </w:t>
      </w:r>
      <w:r w:rsidR="00EA3160" w:rsidRPr="00EA3160">
        <w:rPr>
          <w:rFonts w:hint="eastAsia"/>
          <w:sz w:val="20"/>
          <w:szCs w:val="20"/>
        </w:rPr>
        <w:t xml:space="preserve">RAN1 LS </w:t>
      </w:r>
      <w:r w:rsidR="00EA3160" w:rsidRPr="00EA3160">
        <w:rPr>
          <w:sz w:val="20"/>
          <w:szCs w:val="20"/>
        </w:rPr>
        <w:t>R4-2300010</w:t>
      </w:r>
      <w:r w:rsidR="00EA3160" w:rsidRPr="00EA3160">
        <w:rPr>
          <w:rFonts w:hint="eastAsia"/>
          <w:sz w:val="20"/>
          <w:szCs w:val="20"/>
        </w:rPr>
        <w:t xml:space="preserve"> (</w:t>
      </w:r>
      <w:r w:rsidR="00EA3160" w:rsidRPr="00EA3160">
        <w:rPr>
          <w:sz w:val="20"/>
          <w:szCs w:val="20"/>
        </w:rPr>
        <w:t>R1-2212963</w:t>
      </w:r>
      <w:r w:rsidR="00EA3160" w:rsidRPr="00EA3160">
        <w:rPr>
          <w:rFonts w:hint="eastAsia"/>
          <w:sz w:val="20"/>
          <w:szCs w:val="20"/>
        </w:rPr>
        <w:t>)</w:t>
      </w:r>
      <w:r>
        <w:rPr>
          <w:rFonts w:hint="eastAsia"/>
          <w:sz w:val="20"/>
          <w:szCs w:val="20"/>
        </w:rPr>
        <w:t>, the following replies can be considered.</w:t>
      </w:r>
    </w:p>
    <w:p w:rsidR="00EA3160" w:rsidRPr="00EA3160" w:rsidRDefault="00EA3160" w:rsidP="00EA3160">
      <w:pPr>
        <w:spacing w:before="0" w:after="120"/>
        <w:jc w:val="left"/>
        <w:rPr>
          <w:b/>
          <w:color w:val="000000" w:themeColor="text1"/>
          <w:sz w:val="20"/>
          <w:szCs w:val="20"/>
        </w:rPr>
      </w:pPr>
      <w:r w:rsidRPr="00EA3160">
        <w:rPr>
          <w:rFonts w:hint="eastAsia"/>
          <w:b/>
          <w:color w:val="000000" w:themeColor="text1"/>
          <w:sz w:val="20"/>
          <w:szCs w:val="20"/>
        </w:rPr>
        <w:t>Answer to the question 1: The</w:t>
      </w:r>
      <w:r w:rsidRPr="00EA3160">
        <w:rPr>
          <w:b/>
          <w:color w:val="000000" w:themeColor="text1"/>
          <w:sz w:val="20"/>
          <w:szCs w:val="20"/>
        </w:rPr>
        <w:t>re’</w:t>
      </w:r>
      <w:r w:rsidRPr="00EA3160">
        <w:rPr>
          <w:rFonts w:hint="eastAsia"/>
          <w:b/>
          <w:color w:val="000000" w:themeColor="text1"/>
          <w:sz w:val="20"/>
          <w:szCs w:val="20"/>
        </w:rPr>
        <w:t>s no blocking issue for inter-site SBFD gNB. RAN1 ICS understanding is not correct. RAN4 assumes ACLR performance for Tx sub-band signal and ACS performance for Rx sub-band that sub-band filters are assumed for Tx/Rx, which is different with ICS performance where there</w:t>
      </w:r>
      <w:r w:rsidRPr="00EA3160">
        <w:rPr>
          <w:b/>
          <w:color w:val="000000" w:themeColor="text1"/>
          <w:sz w:val="20"/>
          <w:szCs w:val="20"/>
        </w:rPr>
        <w:t>’</w:t>
      </w:r>
      <w:r w:rsidRPr="00EA3160">
        <w:rPr>
          <w:rFonts w:hint="eastAsia"/>
          <w:b/>
          <w:color w:val="000000" w:themeColor="text1"/>
          <w:sz w:val="20"/>
          <w:szCs w:val="20"/>
        </w:rPr>
        <w:t xml:space="preserve">s no in </w:t>
      </w:r>
      <w:r w:rsidRPr="00EA3160">
        <w:rPr>
          <w:b/>
          <w:color w:val="000000" w:themeColor="text1"/>
          <w:sz w:val="20"/>
          <w:szCs w:val="20"/>
        </w:rPr>
        <w:t>channel</w:t>
      </w:r>
      <w:r w:rsidRPr="00EA3160">
        <w:rPr>
          <w:rFonts w:hint="eastAsia"/>
          <w:b/>
          <w:color w:val="000000" w:themeColor="text1"/>
          <w:sz w:val="20"/>
          <w:szCs w:val="20"/>
        </w:rPr>
        <w:t xml:space="preserve"> filter. So the interference falling into the victim gNB should be </w:t>
      </w:r>
      <w:r w:rsidRPr="00EA3160">
        <w:rPr>
          <w:b/>
          <w:color w:val="000000" w:themeColor="text1"/>
          <w:sz w:val="20"/>
          <w:szCs w:val="20"/>
        </w:rPr>
        <w:t>calculated</w:t>
      </w:r>
      <w:r w:rsidRPr="00EA3160">
        <w:rPr>
          <w:rFonts w:hint="eastAsia"/>
          <w:b/>
          <w:color w:val="000000" w:themeColor="text1"/>
          <w:sz w:val="20"/>
          <w:szCs w:val="20"/>
        </w:rPr>
        <w:t xml:space="preserve"> </w:t>
      </w:r>
      <w:r w:rsidRPr="00EA3160">
        <w:rPr>
          <w:b/>
          <w:color w:val="000000" w:themeColor="text1"/>
          <w:sz w:val="20"/>
          <w:szCs w:val="20"/>
        </w:rPr>
        <w:t>according</w:t>
      </w:r>
      <w:r w:rsidRPr="00EA3160">
        <w:rPr>
          <w:rFonts w:hint="eastAsia"/>
          <w:b/>
          <w:color w:val="000000" w:themeColor="text1"/>
          <w:sz w:val="20"/>
          <w:szCs w:val="20"/>
        </w:rPr>
        <w:t xml:space="preserve"> to ACIR value.</w:t>
      </w:r>
    </w:p>
    <w:p w:rsidR="00EA3160" w:rsidRPr="00EA3160" w:rsidRDefault="00EA3160" w:rsidP="00EA3160">
      <w:pPr>
        <w:spacing w:before="0" w:after="120"/>
        <w:jc w:val="left"/>
        <w:rPr>
          <w:rFonts w:cs="Arial"/>
          <w:b/>
          <w:sz w:val="20"/>
          <w:szCs w:val="20"/>
        </w:rPr>
      </w:pPr>
      <w:r w:rsidRPr="00EA3160">
        <w:rPr>
          <w:rFonts w:cstheme="minorHAnsi" w:hint="eastAsia"/>
          <w:b/>
          <w:bCs/>
          <w:sz w:val="20"/>
          <w:szCs w:val="20"/>
        </w:rPr>
        <w:t xml:space="preserve">Answer to the question 2: RAN1 consideration for the </w:t>
      </w:r>
      <w:r w:rsidRPr="00EA3160">
        <w:rPr>
          <w:rFonts w:cstheme="minorHAnsi"/>
          <w:b/>
          <w:bCs/>
          <w:sz w:val="20"/>
          <w:szCs w:val="20"/>
        </w:rPr>
        <w:t>co-site inter-sector co-channel inter-subband CLI modelling</w:t>
      </w:r>
      <w:r w:rsidRPr="00EA3160">
        <w:rPr>
          <w:rFonts w:cstheme="minorHAnsi" w:hint="eastAsia"/>
          <w:b/>
          <w:bCs/>
          <w:sz w:val="20"/>
          <w:szCs w:val="20"/>
        </w:rPr>
        <w:t xml:space="preserve"> is not complete. The blocking issue should be considered and the contribution to </w:t>
      </w:r>
      <w:r w:rsidRPr="00EA3160">
        <w:rPr>
          <w:rFonts w:cstheme="minorHAnsi"/>
          <w:b/>
          <w:bCs/>
          <w:sz w:val="20"/>
          <w:szCs w:val="20"/>
        </w:rPr>
        <w:t>interference</w:t>
      </w:r>
      <w:r w:rsidRPr="00EA3160">
        <w:rPr>
          <w:rFonts w:cstheme="minorHAnsi" w:hint="eastAsia"/>
          <w:b/>
          <w:bCs/>
          <w:sz w:val="20"/>
          <w:szCs w:val="20"/>
        </w:rPr>
        <w:t xml:space="preserve"> power is not complete either. RAN1 can use the following assumption</w:t>
      </w:r>
      <w:r w:rsidR="00F21063">
        <w:rPr>
          <w:rFonts w:cstheme="minorHAnsi" w:hint="eastAsia"/>
          <w:b/>
          <w:bCs/>
          <w:sz w:val="20"/>
          <w:szCs w:val="20"/>
        </w:rPr>
        <w:t xml:space="preserve"> which is used in RAN4 co-existence simulation calibration. The assumption can be</w:t>
      </w:r>
      <w:r w:rsidRPr="00EA3160">
        <w:rPr>
          <w:rFonts w:cstheme="minorHAnsi" w:hint="eastAsia"/>
          <w:b/>
          <w:bCs/>
          <w:sz w:val="20"/>
          <w:szCs w:val="20"/>
        </w:rPr>
        <w:t xml:space="preserve"> update</w:t>
      </w:r>
      <w:r w:rsidR="00F21063">
        <w:rPr>
          <w:rFonts w:cstheme="minorHAnsi" w:hint="eastAsia"/>
          <w:b/>
          <w:bCs/>
          <w:sz w:val="20"/>
          <w:szCs w:val="20"/>
        </w:rPr>
        <w:t>d</w:t>
      </w:r>
      <w:r w:rsidRPr="00EA3160">
        <w:rPr>
          <w:rFonts w:cstheme="minorHAnsi" w:hint="eastAsia"/>
          <w:b/>
          <w:bCs/>
          <w:sz w:val="20"/>
          <w:szCs w:val="20"/>
        </w:rPr>
        <w:t xml:space="preserve"> when RAN4 updates the evaluation results.</w:t>
      </w:r>
    </w:p>
    <w:p w:rsidR="00EA3160" w:rsidRPr="00EA3160" w:rsidRDefault="00EA3160" w:rsidP="00EA3160">
      <w:pPr>
        <w:spacing w:before="0" w:after="120"/>
        <w:ind w:firstLine="420"/>
        <w:jc w:val="left"/>
        <w:rPr>
          <w:rFonts w:cstheme="minorHAnsi"/>
          <w:b/>
          <w:bCs/>
          <w:sz w:val="20"/>
          <w:szCs w:val="20"/>
        </w:rPr>
      </w:pPr>
      <w:r w:rsidRPr="00EA3160">
        <w:rPr>
          <w:rFonts w:cstheme="minorHAnsi"/>
          <w:b/>
          <w:bCs/>
          <w:sz w:val="20"/>
          <w:szCs w:val="20"/>
        </w:rPr>
        <w:t>SBFD Co-site co-channel interference consideration</w:t>
      </w:r>
    </w:p>
    <w:p w:rsidR="00EA3160" w:rsidRPr="00EA3160" w:rsidRDefault="00EA3160" w:rsidP="00EA3160">
      <w:pPr>
        <w:ind w:leftChars="300" w:left="630"/>
        <w:rPr>
          <w:b/>
          <w:sz w:val="20"/>
          <w:szCs w:val="20"/>
        </w:rPr>
      </w:pPr>
      <w:r w:rsidRPr="00EA3160">
        <w:rPr>
          <w:b/>
          <w:sz w:val="20"/>
          <w:szCs w:val="20"/>
          <w:lang w:val="sv-SE"/>
        </w:rPr>
        <w:t>Using following assumption for calibration purpose:</w:t>
      </w:r>
    </w:p>
    <w:p w:rsidR="00EA3160" w:rsidRPr="00EA3160" w:rsidRDefault="00EA3160" w:rsidP="00EA3160">
      <w:pPr>
        <w:pStyle w:val="afa"/>
        <w:widowControl/>
        <w:numPr>
          <w:ilvl w:val="0"/>
          <w:numId w:val="35"/>
        </w:numPr>
        <w:overflowPunct w:val="0"/>
        <w:autoSpaceDE w:val="0"/>
        <w:autoSpaceDN w:val="0"/>
        <w:adjustRightInd w:val="0"/>
        <w:spacing w:before="24" w:after="24" w:line="240" w:lineRule="auto"/>
        <w:ind w:leftChars="300" w:left="1050" w:firstLineChars="0"/>
        <w:jc w:val="left"/>
        <w:textAlignment w:val="baseline"/>
        <w:rPr>
          <w:b/>
          <w:sz w:val="20"/>
          <w:szCs w:val="20"/>
        </w:rPr>
      </w:pPr>
      <w:r w:rsidRPr="00EA3160">
        <w:rPr>
          <w:b/>
          <w:sz w:val="20"/>
          <w:szCs w:val="20"/>
          <w:lang w:val="sv-SE"/>
        </w:rPr>
        <w:t>For co-site self-interference scenario, it is assumed the interference level from gNB self-interference is: Noise floor – 6dB.</w:t>
      </w:r>
    </w:p>
    <w:p w:rsidR="00EA3160" w:rsidRPr="00EA3160" w:rsidRDefault="00EA3160" w:rsidP="00EA3160">
      <w:pPr>
        <w:pStyle w:val="afa"/>
        <w:widowControl/>
        <w:numPr>
          <w:ilvl w:val="0"/>
          <w:numId w:val="35"/>
        </w:numPr>
        <w:overflowPunct w:val="0"/>
        <w:autoSpaceDE w:val="0"/>
        <w:autoSpaceDN w:val="0"/>
        <w:adjustRightInd w:val="0"/>
        <w:spacing w:before="24" w:after="24" w:line="240" w:lineRule="auto"/>
        <w:ind w:leftChars="300" w:left="1050" w:firstLineChars="0"/>
        <w:jc w:val="left"/>
        <w:textAlignment w:val="baseline"/>
        <w:rPr>
          <w:b/>
          <w:sz w:val="20"/>
          <w:szCs w:val="20"/>
        </w:rPr>
      </w:pPr>
      <w:r w:rsidRPr="00EA3160">
        <w:rPr>
          <w:b/>
          <w:sz w:val="20"/>
          <w:szCs w:val="20"/>
          <w:lang w:val="sv-SE"/>
        </w:rPr>
        <w:t>For co-site inter-sector scenario, it is assumed the interference level from co-site inter-sector gNBs is: Noise floor + X dB</w:t>
      </w:r>
    </w:p>
    <w:p w:rsidR="00EA3160" w:rsidRPr="00EA3160" w:rsidRDefault="00EA3160" w:rsidP="00EA3160">
      <w:pPr>
        <w:pStyle w:val="afa"/>
        <w:widowControl/>
        <w:numPr>
          <w:ilvl w:val="1"/>
          <w:numId w:val="35"/>
        </w:numPr>
        <w:overflowPunct w:val="0"/>
        <w:autoSpaceDE w:val="0"/>
        <w:autoSpaceDN w:val="0"/>
        <w:adjustRightInd w:val="0"/>
        <w:spacing w:before="24" w:after="24" w:line="240" w:lineRule="auto"/>
        <w:ind w:leftChars="500" w:left="1470" w:firstLineChars="0"/>
        <w:jc w:val="left"/>
        <w:textAlignment w:val="baseline"/>
        <w:rPr>
          <w:b/>
          <w:sz w:val="20"/>
          <w:szCs w:val="20"/>
        </w:rPr>
      </w:pPr>
      <w:r w:rsidRPr="00EA3160">
        <w:rPr>
          <w:b/>
          <w:sz w:val="20"/>
          <w:szCs w:val="20"/>
          <w:lang w:val="sv-SE"/>
        </w:rPr>
        <w:t>For medium and local BS: X = -6 dB;</w:t>
      </w:r>
    </w:p>
    <w:p w:rsidR="00EA3160" w:rsidRPr="00EA3160" w:rsidRDefault="00EA3160" w:rsidP="00EA3160">
      <w:pPr>
        <w:pStyle w:val="afa"/>
        <w:widowControl/>
        <w:numPr>
          <w:ilvl w:val="1"/>
          <w:numId w:val="35"/>
        </w:numPr>
        <w:overflowPunct w:val="0"/>
        <w:autoSpaceDE w:val="0"/>
        <w:autoSpaceDN w:val="0"/>
        <w:adjustRightInd w:val="0"/>
        <w:spacing w:before="24" w:after="24" w:line="240" w:lineRule="auto"/>
        <w:ind w:leftChars="500" w:left="1470" w:firstLineChars="0"/>
        <w:jc w:val="left"/>
        <w:textAlignment w:val="baseline"/>
        <w:rPr>
          <w:b/>
          <w:sz w:val="20"/>
          <w:szCs w:val="20"/>
        </w:rPr>
      </w:pPr>
      <w:r w:rsidRPr="00EA3160">
        <w:rPr>
          <w:b/>
          <w:sz w:val="20"/>
          <w:szCs w:val="20"/>
          <w:lang w:val="sv-SE"/>
        </w:rPr>
        <w:t>For wide-area BS: X = -6 dB.</w:t>
      </w:r>
    </w:p>
    <w:p w:rsidR="00EA3160" w:rsidRPr="00EA3160" w:rsidRDefault="00EA3160" w:rsidP="00EA3160">
      <w:pPr>
        <w:pStyle w:val="afa"/>
        <w:widowControl/>
        <w:numPr>
          <w:ilvl w:val="1"/>
          <w:numId w:val="35"/>
        </w:numPr>
        <w:overflowPunct w:val="0"/>
        <w:autoSpaceDE w:val="0"/>
        <w:autoSpaceDN w:val="0"/>
        <w:adjustRightInd w:val="0"/>
        <w:spacing w:before="24" w:after="24" w:line="240" w:lineRule="auto"/>
        <w:ind w:leftChars="500" w:left="1470" w:firstLineChars="0"/>
        <w:jc w:val="left"/>
        <w:textAlignment w:val="baseline"/>
        <w:rPr>
          <w:b/>
          <w:sz w:val="20"/>
          <w:szCs w:val="20"/>
        </w:rPr>
      </w:pPr>
      <w:r w:rsidRPr="00EA3160">
        <w:rPr>
          <w:b/>
          <w:sz w:val="20"/>
          <w:szCs w:val="20"/>
        </w:rPr>
        <w:t>Note 1: this is the sum of all inter-sector gNB-gNB CLI per site.</w:t>
      </w:r>
    </w:p>
    <w:p w:rsidR="00EA3160" w:rsidRPr="00EA3160" w:rsidRDefault="00EA3160" w:rsidP="00EA3160">
      <w:pPr>
        <w:pStyle w:val="afa"/>
        <w:widowControl/>
        <w:numPr>
          <w:ilvl w:val="1"/>
          <w:numId w:val="35"/>
        </w:numPr>
        <w:overflowPunct w:val="0"/>
        <w:autoSpaceDE w:val="0"/>
        <w:autoSpaceDN w:val="0"/>
        <w:adjustRightInd w:val="0"/>
        <w:spacing w:before="24" w:after="24" w:line="240" w:lineRule="auto"/>
        <w:ind w:leftChars="500" w:left="1470" w:firstLineChars="0"/>
        <w:jc w:val="left"/>
        <w:textAlignment w:val="baseline"/>
        <w:rPr>
          <w:b/>
          <w:sz w:val="20"/>
          <w:szCs w:val="20"/>
        </w:rPr>
      </w:pPr>
      <w:r w:rsidRPr="00EA3160">
        <w:rPr>
          <w:b/>
          <w:sz w:val="20"/>
          <w:szCs w:val="20"/>
        </w:rPr>
        <w:t xml:space="preserve">Note 2: Final co-existence study simulation set-up need to be aligned with the conclusion on co-site inter-sector interference modelling and isolation. </w:t>
      </w:r>
    </w:p>
    <w:p w:rsidR="00EA3160" w:rsidRPr="00EA3160" w:rsidRDefault="00EA3160" w:rsidP="00427ECC">
      <w:pPr>
        <w:pStyle w:val="afa"/>
        <w:widowControl/>
        <w:numPr>
          <w:ilvl w:val="1"/>
          <w:numId w:val="35"/>
        </w:numPr>
        <w:overflowPunct w:val="0"/>
        <w:autoSpaceDE w:val="0"/>
        <w:autoSpaceDN w:val="0"/>
        <w:adjustRightInd w:val="0"/>
        <w:spacing w:before="0" w:after="120" w:line="240" w:lineRule="auto"/>
        <w:ind w:leftChars="500" w:left="1470" w:firstLineChars="0"/>
        <w:jc w:val="left"/>
        <w:textAlignment w:val="baseline"/>
        <w:rPr>
          <w:sz w:val="20"/>
          <w:szCs w:val="20"/>
        </w:rPr>
      </w:pPr>
      <w:r w:rsidRPr="00EA3160">
        <w:rPr>
          <w:b/>
          <w:sz w:val="20"/>
          <w:szCs w:val="20"/>
        </w:rPr>
        <w:t xml:space="preserve">Note 3: for FR1 wide-area, this means the inter-sector isolation should be not less than [144dB] </w:t>
      </w:r>
    </w:p>
    <w:p w:rsidR="00EA3160" w:rsidRPr="00EA3160" w:rsidRDefault="00EA3160" w:rsidP="00EA3160">
      <w:pPr>
        <w:spacing w:before="0" w:after="120"/>
        <w:jc w:val="left"/>
        <w:rPr>
          <w:rFonts w:cstheme="minorHAnsi"/>
          <w:b/>
          <w:bCs/>
          <w:sz w:val="20"/>
          <w:szCs w:val="20"/>
        </w:rPr>
      </w:pPr>
      <w:r w:rsidRPr="00EA3160">
        <w:rPr>
          <w:rFonts w:cstheme="minorHAnsi" w:hint="eastAsia"/>
          <w:b/>
          <w:bCs/>
          <w:sz w:val="20"/>
          <w:szCs w:val="20"/>
        </w:rPr>
        <w:t>Answer to the question 3: RAN4 has agreed that I</w:t>
      </w:r>
      <w:r w:rsidRPr="00EA3160">
        <w:rPr>
          <w:rFonts w:cstheme="minorHAnsi"/>
          <w:b/>
          <w:bCs/>
          <w:sz w:val="20"/>
          <w:szCs w:val="20"/>
        </w:rPr>
        <w:t xml:space="preserve">BE-based model </w:t>
      </w:r>
      <w:r w:rsidRPr="00EA3160">
        <w:rPr>
          <w:rFonts w:cstheme="minorHAnsi" w:hint="eastAsia"/>
          <w:b/>
          <w:bCs/>
          <w:sz w:val="20"/>
          <w:szCs w:val="20"/>
        </w:rPr>
        <w:t xml:space="preserve">as mentioned in </w:t>
      </w:r>
      <w:r w:rsidR="00F21063">
        <w:rPr>
          <w:rFonts w:cstheme="minorHAnsi" w:hint="eastAsia"/>
          <w:b/>
          <w:bCs/>
          <w:sz w:val="20"/>
          <w:szCs w:val="20"/>
        </w:rPr>
        <w:t xml:space="preserve">LS </w:t>
      </w:r>
      <w:r w:rsidRPr="00EA3160">
        <w:rPr>
          <w:rFonts w:cstheme="minorHAnsi"/>
          <w:b/>
          <w:bCs/>
          <w:sz w:val="20"/>
          <w:szCs w:val="20"/>
        </w:rPr>
        <w:t>R4-2220243</w:t>
      </w:r>
      <w:r w:rsidRPr="00EA3160">
        <w:rPr>
          <w:rFonts w:cstheme="minorHAnsi" w:hint="eastAsia"/>
          <w:b/>
          <w:bCs/>
          <w:sz w:val="20"/>
          <w:szCs w:val="20"/>
        </w:rPr>
        <w:t xml:space="preserve">, please RAN1 use that model in the </w:t>
      </w:r>
      <w:r w:rsidRPr="00EA3160">
        <w:rPr>
          <w:rFonts w:cstheme="minorHAnsi"/>
          <w:b/>
          <w:bCs/>
          <w:sz w:val="20"/>
          <w:szCs w:val="20"/>
        </w:rPr>
        <w:t>simulation</w:t>
      </w:r>
      <w:r w:rsidRPr="00EA3160">
        <w:rPr>
          <w:rFonts w:cstheme="minorHAnsi" w:hint="eastAsia"/>
          <w:b/>
          <w:bCs/>
          <w:sz w:val="20"/>
          <w:szCs w:val="20"/>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4B4E45" w:rsidRDefault="001A3C2A" w:rsidP="00552D92">
      <w:pPr>
        <w:tabs>
          <w:tab w:val="num" w:pos="720"/>
        </w:tabs>
        <w:spacing w:before="0" w:after="120"/>
        <w:jc w:val="left"/>
        <w:rPr>
          <w:color w:val="000000" w:themeColor="text1"/>
          <w:sz w:val="20"/>
          <w:lang w:val="en-US"/>
        </w:rPr>
      </w:pPr>
      <w:r w:rsidRPr="00F21063">
        <w:rPr>
          <w:rFonts w:hint="eastAsia"/>
          <w:color w:val="000000" w:themeColor="text1"/>
          <w:sz w:val="20"/>
          <w:lang w:val="en-US"/>
        </w:rPr>
        <w:t>[</w:t>
      </w:r>
      <w:r w:rsidR="00024E82" w:rsidRPr="00F21063">
        <w:rPr>
          <w:rFonts w:hint="eastAsia"/>
          <w:color w:val="000000" w:themeColor="text1"/>
          <w:sz w:val="20"/>
          <w:lang w:val="en-US"/>
        </w:rPr>
        <w:t>1</w:t>
      </w:r>
      <w:r w:rsidRPr="00F21063">
        <w:rPr>
          <w:rFonts w:hint="eastAsia"/>
          <w:color w:val="000000" w:themeColor="text1"/>
          <w:sz w:val="20"/>
          <w:lang w:val="en-US"/>
        </w:rPr>
        <w:t xml:space="preserve">] </w:t>
      </w:r>
      <w:r w:rsidR="00F21063" w:rsidRPr="002B4EC3">
        <w:rPr>
          <w:color w:val="000000" w:themeColor="text1"/>
          <w:sz w:val="20"/>
          <w:lang w:val="en-US"/>
        </w:rPr>
        <w:t>R4-2300010</w:t>
      </w:r>
      <w:r w:rsidR="00F21063">
        <w:rPr>
          <w:rFonts w:hint="eastAsia"/>
          <w:color w:val="000000" w:themeColor="text1"/>
          <w:sz w:val="20"/>
          <w:lang w:val="en-US"/>
        </w:rPr>
        <w:t xml:space="preserve">, </w:t>
      </w:r>
      <w:r w:rsidR="00F21063">
        <w:rPr>
          <w:color w:val="000000" w:themeColor="text1"/>
          <w:sz w:val="20"/>
          <w:lang w:val="en-US"/>
        </w:rPr>
        <w:t>“</w:t>
      </w:r>
      <w:r w:rsidR="00F21063" w:rsidRPr="00F21063">
        <w:rPr>
          <w:color w:val="000000" w:themeColor="text1"/>
          <w:sz w:val="20"/>
          <w:lang w:val="en-US"/>
        </w:rPr>
        <w:t>LS on interference modelling for duplex evolution</w:t>
      </w:r>
      <w:r w:rsidR="00F21063">
        <w:rPr>
          <w:color w:val="000000" w:themeColor="text1"/>
          <w:sz w:val="20"/>
          <w:lang w:val="en-US"/>
        </w:rPr>
        <w:t>”</w:t>
      </w:r>
      <w:r w:rsidR="00F21063">
        <w:rPr>
          <w:rFonts w:hint="eastAsia"/>
          <w:color w:val="000000" w:themeColor="text1"/>
          <w:sz w:val="20"/>
          <w:lang w:val="en-US"/>
        </w:rPr>
        <w:t>, RAN4#106</w:t>
      </w:r>
    </w:p>
    <w:p w:rsidR="001B3F96" w:rsidRPr="00F21063" w:rsidRDefault="00F21063" w:rsidP="00F21063">
      <w:pPr>
        <w:tabs>
          <w:tab w:val="num" w:pos="720"/>
        </w:tabs>
        <w:spacing w:before="0" w:after="120"/>
        <w:jc w:val="left"/>
        <w:rPr>
          <w:color w:val="000000" w:themeColor="text1"/>
          <w:sz w:val="20"/>
          <w:lang w:val="en-US"/>
        </w:rPr>
      </w:pPr>
      <w:r w:rsidRPr="00331B5B">
        <w:rPr>
          <w:rFonts w:hint="eastAsia"/>
          <w:lang w:val="en-US"/>
        </w:rPr>
        <w:t>[</w:t>
      </w:r>
      <w:r>
        <w:rPr>
          <w:rFonts w:hint="eastAsia"/>
          <w:lang w:val="en-US"/>
        </w:rPr>
        <w:t>2</w:t>
      </w:r>
      <w:r w:rsidRPr="00331B5B">
        <w:rPr>
          <w:rFonts w:hint="eastAsia"/>
          <w:lang w:val="en-US"/>
        </w:rPr>
        <w:t xml:space="preserve">] </w:t>
      </w:r>
      <w:r w:rsidR="00025A16" w:rsidRPr="00F21063">
        <w:rPr>
          <w:color w:val="000000" w:themeColor="text1"/>
          <w:sz w:val="20"/>
          <w:lang w:val="en-US"/>
        </w:rPr>
        <w:t>R4-2220245</w:t>
      </w:r>
      <w:r>
        <w:rPr>
          <w:rFonts w:hint="eastAsia"/>
          <w:color w:val="000000" w:themeColor="text1"/>
          <w:sz w:val="20"/>
          <w:lang w:val="en-US"/>
        </w:rPr>
        <w:t xml:space="preserve">, </w:t>
      </w:r>
      <w:r>
        <w:rPr>
          <w:color w:val="000000" w:themeColor="text1"/>
          <w:sz w:val="20"/>
          <w:lang w:val="en-US"/>
        </w:rPr>
        <w:t>“</w:t>
      </w:r>
      <w:r w:rsidR="00025A16" w:rsidRPr="00F21063">
        <w:rPr>
          <w:color w:val="000000" w:themeColor="text1"/>
          <w:sz w:val="20"/>
          <w:lang w:val="en-US"/>
        </w:rPr>
        <w:t>WF for the feasibility from UE aspect</w:t>
      </w:r>
      <w:r>
        <w:rPr>
          <w:color w:val="000000" w:themeColor="text1"/>
          <w:sz w:val="20"/>
          <w:lang w:val="en-US"/>
        </w:rPr>
        <w:t>”</w:t>
      </w:r>
      <w:r>
        <w:rPr>
          <w:rFonts w:hint="eastAsia"/>
          <w:color w:val="000000" w:themeColor="text1"/>
          <w:sz w:val="20"/>
          <w:lang w:val="en-US"/>
        </w:rPr>
        <w:t>, Qualcomm, RAN4#106</w:t>
      </w:r>
    </w:p>
    <w:p w:rsidR="001B3F96" w:rsidRPr="00F21063" w:rsidRDefault="00F21063" w:rsidP="00F21063">
      <w:pPr>
        <w:tabs>
          <w:tab w:val="left" w:pos="1985"/>
        </w:tabs>
        <w:rPr>
          <w:color w:val="000000" w:themeColor="text1"/>
          <w:sz w:val="20"/>
          <w:lang w:val="en-US"/>
        </w:rPr>
      </w:pPr>
      <w:r w:rsidRPr="00331B5B">
        <w:rPr>
          <w:rFonts w:hint="eastAsia"/>
          <w:lang w:val="en-US"/>
        </w:rPr>
        <w:t>[</w:t>
      </w:r>
      <w:r>
        <w:rPr>
          <w:rFonts w:hint="eastAsia"/>
          <w:lang w:val="en-US"/>
        </w:rPr>
        <w:t>3</w:t>
      </w:r>
      <w:r w:rsidRPr="00331B5B">
        <w:rPr>
          <w:rFonts w:hint="eastAsia"/>
          <w:lang w:val="en-US"/>
        </w:rPr>
        <w:t xml:space="preserve">] </w:t>
      </w:r>
      <w:r w:rsidR="00025A16" w:rsidRPr="00F21063">
        <w:rPr>
          <w:color w:val="000000" w:themeColor="text1"/>
          <w:sz w:val="20"/>
          <w:lang w:val="en-US"/>
        </w:rPr>
        <w:t>R4-2220246</w:t>
      </w:r>
      <w:r>
        <w:rPr>
          <w:rFonts w:hint="eastAsia"/>
          <w:color w:val="000000" w:themeColor="text1"/>
          <w:sz w:val="20"/>
          <w:lang w:val="en-US"/>
        </w:rPr>
        <w:t xml:space="preserve">, </w:t>
      </w:r>
      <w:r>
        <w:rPr>
          <w:color w:val="000000" w:themeColor="text1"/>
          <w:sz w:val="20"/>
          <w:lang w:val="en-US"/>
        </w:rPr>
        <w:t>“</w:t>
      </w:r>
      <w:r w:rsidR="00025A16" w:rsidRPr="00F21063">
        <w:rPr>
          <w:color w:val="000000" w:themeColor="text1"/>
          <w:sz w:val="20"/>
          <w:lang w:val="en-US"/>
        </w:rPr>
        <w:t>WF for co-existence study</w:t>
      </w:r>
      <w:r>
        <w:rPr>
          <w:color w:val="000000" w:themeColor="text1"/>
          <w:sz w:val="20"/>
          <w:lang w:val="en-US"/>
        </w:rPr>
        <w:t>”</w:t>
      </w:r>
      <w:r>
        <w:rPr>
          <w:rFonts w:hint="eastAsia"/>
          <w:color w:val="000000" w:themeColor="text1"/>
          <w:sz w:val="20"/>
          <w:lang w:val="en-US"/>
        </w:rPr>
        <w:t xml:space="preserve">, </w:t>
      </w:r>
      <w:bookmarkStart w:id="3" w:name="_Hlk118310400"/>
      <w:r w:rsidRPr="00F21063">
        <w:rPr>
          <w:color w:val="000000" w:themeColor="text1"/>
          <w:sz w:val="20"/>
          <w:lang w:val="en-US"/>
        </w:rPr>
        <w:t>CMCC</w:t>
      </w:r>
      <w:bookmarkEnd w:id="3"/>
      <w:r w:rsidRPr="00F21063">
        <w:rPr>
          <w:color w:val="000000" w:themeColor="text1"/>
          <w:sz w:val="20"/>
          <w:lang w:val="en-US"/>
        </w:rPr>
        <w:t>, Samsung</w:t>
      </w:r>
      <w:r>
        <w:rPr>
          <w:rFonts w:hint="eastAsia"/>
          <w:color w:val="000000" w:themeColor="text1"/>
          <w:sz w:val="20"/>
          <w:lang w:val="en-US"/>
        </w:rPr>
        <w:t>, RAN4#106</w:t>
      </w:r>
    </w:p>
    <w:p w:rsidR="00F21063" w:rsidRPr="00F21063" w:rsidRDefault="00F21063" w:rsidP="00552D92">
      <w:pPr>
        <w:tabs>
          <w:tab w:val="num" w:pos="720"/>
        </w:tabs>
        <w:spacing w:before="0" w:after="120"/>
        <w:jc w:val="left"/>
        <w:rPr>
          <w:lang w:val="en-US"/>
        </w:rPr>
      </w:pPr>
      <w:r>
        <w:rPr>
          <w:rFonts w:hint="eastAsia"/>
          <w:color w:val="000000" w:themeColor="text1"/>
          <w:sz w:val="20"/>
          <w:lang w:val="en-US"/>
        </w:rPr>
        <w:t xml:space="preserve">[4] </w:t>
      </w:r>
      <w:r w:rsidR="00025A16" w:rsidRPr="00F21063">
        <w:rPr>
          <w:color w:val="000000" w:themeColor="text1"/>
          <w:sz w:val="20"/>
          <w:lang w:val="en-US"/>
        </w:rPr>
        <w:t>R4-2220243</w:t>
      </w:r>
      <w:r>
        <w:rPr>
          <w:rFonts w:hint="eastAsia"/>
          <w:color w:val="000000" w:themeColor="text1"/>
          <w:sz w:val="20"/>
          <w:lang w:val="en-US"/>
        </w:rPr>
        <w:t xml:space="preserve">, </w:t>
      </w:r>
      <w:r>
        <w:rPr>
          <w:color w:val="000000" w:themeColor="text1"/>
          <w:sz w:val="20"/>
          <w:lang w:val="en-US"/>
        </w:rPr>
        <w:t>“</w:t>
      </w:r>
      <w:r w:rsidR="00025A16" w:rsidRPr="00F21063">
        <w:rPr>
          <w:color w:val="000000" w:themeColor="text1"/>
          <w:sz w:val="20"/>
          <w:lang w:val="en-US"/>
        </w:rPr>
        <w:t>LS response to RAN1 for interference modelling and Sub-band configuration</w:t>
      </w:r>
      <w:r>
        <w:rPr>
          <w:color w:val="000000" w:themeColor="text1"/>
          <w:sz w:val="20"/>
          <w:lang w:val="en-US"/>
        </w:rPr>
        <w:t>”</w:t>
      </w:r>
      <w:r>
        <w:rPr>
          <w:rFonts w:hint="eastAsia"/>
          <w:color w:val="000000" w:themeColor="text1"/>
          <w:sz w:val="20"/>
          <w:lang w:val="en-US"/>
        </w:rPr>
        <w:t>, RAN4#106</w:t>
      </w:r>
    </w:p>
    <w:sectPr w:rsidR="00F21063" w:rsidRPr="00F21063"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4C4" w:rsidRDefault="000E54C4" w:rsidP="0095591C">
      <w:pPr>
        <w:spacing w:after="60"/>
        <w:ind w:left="210"/>
      </w:pPr>
      <w:r>
        <w:separator/>
      </w:r>
    </w:p>
  </w:endnote>
  <w:endnote w:type="continuationSeparator" w:id="0">
    <w:p w:rsidR="000E54C4" w:rsidRDefault="000E54C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E54C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4C4" w:rsidRDefault="000E54C4" w:rsidP="0095591C">
      <w:pPr>
        <w:spacing w:after="60"/>
        <w:ind w:left="210"/>
      </w:pPr>
      <w:r>
        <w:separator/>
      </w:r>
    </w:p>
  </w:footnote>
  <w:footnote w:type="continuationSeparator" w:id="0">
    <w:p w:rsidR="000E54C4" w:rsidRDefault="000E54C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9176B3B"/>
    <w:multiLevelType w:val="hybridMultilevel"/>
    <w:tmpl w:val="F95608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D9C5506"/>
    <w:multiLevelType w:val="hybridMultilevel"/>
    <w:tmpl w:val="05C6BDA4"/>
    <w:lvl w:ilvl="0" w:tplc="B9E4EB06">
      <w:start w:val="1"/>
      <w:numFmt w:val="bullet"/>
      <w:lvlText w:val="•"/>
      <w:lvlJc w:val="left"/>
      <w:pPr>
        <w:tabs>
          <w:tab w:val="num" w:pos="720"/>
        </w:tabs>
        <w:ind w:left="720" w:hanging="360"/>
      </w:pPr>
      <w:rPr>
        <w:rFonts w:ascii="Arial" w:hAnsi="Arial" w:hint="default"/>
      </w:rPr>
    </w:lvl>
    <w:lvl w:ilvl="1" w:tplc="C5664BF4" w:tentative="1">
      <w:start w:val="1"/>
      <w:numFmt w:val="bullet"/>
      <w:lvlText w:val="•"/>
      <w:lvlJc w:val="left"/>
      <w:pPr>
        <w:tabs>
          <w:tab w:val="num" w:pos="1440"/>
        </w:tabs>
        <w:ind w:left="1440" w:hanging="360"/>
      </w:pPr>
      <w:rPr>
        <w:rFonts w:ascii="Arial" w:hAnsi="Arial" w:hint="default"/>
      </w:rPr>
    </w:lvl>
    <w:lvl w:ilvl="2" w:tplc="65AA958C" w:tentative="1">
      <w:start w:val="1"/>
      <w:numFmt w:val="bullet"/>
      <w:lvlText w:val="•"/>
      <w:lvlJc w:val="left"/>
      <w:pPr>
        <w:tabs>
          <w:tab w:val="num" w:pos="2160"/>
        </w:tabs>
        <w:ind w:left="2160" w:hanging="360"/>
      </w:pPr>
      <w:rPr>
        <w:rFonts w:ascii="Arial" w:hAnsi="Arial" w:hint="default"/>
      </w:rPr>
    </w:lvl>
    <w:lvl w:ilvl="3" w:tplc="B450E6C8" w:tentative="1">
      <w:start w:val="1"/>
      <w:numFmt w:val="bullet"/>
      <w:lvlText w:val="•"/>
      <w:lvlJc w:val="left"/>
      <w:pPr>
        <w:tabs>
          <w:tab w:val="num" w:pos="2880"/>
        </w:tabs>
        <w:ind w:left="2880" w:hanging="360"/>
      </w:pPr>
      <w:rPr>
        <w:rFonts w:ascii="Arial" w:hAnsi="Arial" w:hint="default"/>
      </w:rPr>
    </w:lvl>
    <w:lvl w:ilvl="4" w:tplc="3AB4743A" w:tentative="1">
      <w:start w:val="1"/>
      <w:numFmt w:val="bullet"/>
      <w:lvlText w:val="•"/>
      <w:lvlJc w:val="left"/>
      <w:pPr>
        <w:tabs>
          <w:tab w:val="num" w:pos="3600"/>
        </w:tabs>
        <w:ind w:left="3600" w:hanging="360"/>
      </w:pPr>
      <w:rPr>
        <w:rFonts w:ascii="Arial" w:hAnsi="Arial" w:hint="default"/>
      </w:rPr>
    </w:lvl>
    <w:lvl w:ilvl="5" w:tplc="4A8A056E" w:tentative="1">
      <w:start w:val="1"/>
      <w:numFmt w:val="bullet"/>
      <w:lvlText w:val="•"/>
      <w:lvlJc w:val="left"/>
      <w:pPr>
        <w:tabs>
          <w:tab w:val="num" w:pos="4320"/>
        </w:tabs>
        <w:ind w:left="4320" w:hanging="360"/>
      </w:pPr>
      <w:rPr>
        <w:rFonts w:ascii="Arial" w:hAnsi="Arial" w:hint="default"/>
      </w:rPr>
    </w:lvl>
    <w:lvl w:ilvl="6" w:tplc="AAD07B4E" w:tentative="1">
      <w:start w:val="1"/>
      <w:numFmt w:val="bullet"/>
      <w:lvlText w:val="•"/>
      <w:lvlJc w:val="left"/>
      <w:pPr>
        <w:tabs>
          <w:tab w:val="num" w:pos="5040"/>
        </w:tabs>
        <w:ind w:left="5040" w:hanging="360"/>
      </w:pPr>
      <w:rPr>
        <w:rFonts w:ascii="Arial" w:hAnsi="Arial" w:hint="default"/>
      </w:rPr>
    </w:lvl>
    <w:lvl w:ilvl="7" w:tplc="0100D1D0" w:tentative="1">
      <w:start w:val="1"/>
      <w:numFmt w:val="bullet"/>
      <w:lvlText w:val="•"/>
      <w:lvlJc w:val="left"/>
      <w:pPr>
        <w:tabs>
          <w:tab w:val="num" w:pos="5760"/>
        </w:tabs>
        <w:ind w:left="5760" w:hanging="360"/>
      </w:pPr>
      <w:rPr>
        <w:rFonts w:ascii="Arial" w:hAnsi="Arial" w:hint="default"/>
      </w:rPr>
    </w:lvl>
    <w:lvl w:ilvl="8" w:tplc="D0F62922"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0D3A0E"/>
    <w:multiLevelType w:val="hybridMultilevel"/>
    <w:tmpl w:val="D7D498C8"/>
    <w:lvl w:ilvl="0" w:tplc="C61A4EE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D0C61EC"/>
    <w:multiLevelType w:val="hybridMultilevel"/>
    <w:tmpl w:val="DA64D234"/>
    <w:lvl w:ilvl="0" w:tplc="C98EDD40">
      <w:start w:val="1"/>
      <w:numFmt w:val="bullet"/>
      <w:lvlText w:val="•"/>
      <w:lvlJc w:val="left"/>
      <w:pPr>
        <w:tabs>
          <w:tab w:val="num" w:pos="720"/>
        </w:tabs>
        <w:ind w:left="720" w:hanging="360"/>
      </w:pPr>
      <w:rPr>
        <w:rFonts w:ascii="Arial" w:hAnsi="Arial" w:hint="default"/>
      </w:rPr>
    </w:lvl>
    <w:lvl w:ilvl="1" w:tplc="5F56048C" w:tentative="1">
      <w:start w:val="1"/>
      <w:numFmt w:val="bullet"/>
      <w:lvlText w:val="•"/>
      <w:lvlJc w:val="left"/>
      <w:pPr>
        <w:tabs>
          <w:tab w:val="num" w:pos="1440"/>
        </w:tabs>
        <w:ind w:left="1440" w:hanging="360"/>
      </w:pPr>
      <w:rPr>
        <w:rFonts w:ascii="Arial" w:hAnsi="Arial" w:hint="default"/>
      </w:rPr>
    </w:lvl>
    <w:lvl w:ilvl="2" w:tplc="B9BAC31E" w:tentative="1">
      <w:start w:val="1"/>
      <w:numFmt w:val="bullet"/>
      <w:lvlText w:val="•"/>
      <w:lvlJc w:val="left"/>
      <w:pPr>
        <w:tabs>
          <w:tab w:val="num" w:pos="2160"/>
        </w:tabs>
        <w:ind w:left="2160" w:hanging="360"/>
      </w:pPr>
      <w:rPr>
        <w:rFonts w:ascii="Arial" w:hAnsi="Arial" w:hint="default"/>
      </w:rPr>
    </w:lvl>
    <w:lvl w:ilvl="3" w:tplc="056C73D2" w:tentative="1">
      <w:start w:val="1"/>
      <w:numFmt w:val="bullet"/>
      <w:lvlText w:val="•"/>
      <w:lvlJc w:val="left"/>
      <w:pPr>
        <w:tabs>
          <w:tab w:val="num" w:pos="2880"/>
        </w:tabs>
        <w:ind w:left="2880" w:hanging="360"/>
      </w:pPr>
      <w:rPr>
        <w:rFonts w:ascii="Arial" w:hAnsi="Arial" w:hint="default"/>
      </w:rPr>
    </w:lvl>
    <w:lvl w:ilvl="4" w:tplc="A06273FC" w:tentative="1">
      <w:start w:val="1"/>
      <w:numFmt w:val="bullet"/>
      <w:lvlText w:val="•"/>
      <w:lvlJc w:val="left"/>
      <w:pPr>
        <w:tabs>
          <w:tab w:val="num" w:pos="3600"/>
        </w:tabs>
        <w:ind w:left="3600" w:hanging="360"/>
      </w:pPr>
      <w:rPr>
        <w:rFonts w:ascii="Arial" w:hAnsi="Arial" w:hint="default"/>
      </w:rPr>
    </w:lvl>
    <w:lvl w:ilvl="5" w:tplc="EC58806C" w:tentative="1">
      <w:start w:val="1"/>
      <w:numFmt w:val="bullet"/>
      <w:lvlText w:val="•"/>
      <w:lvlJc w:val="left"/>
      <w:pPr>
        <w:tabs>
          <w:tab w:val="num" w:pos="4320"/>
        </w:tabs>
        <w:ind w:left="4320" w:hanging="360"/>
      </w:pPr>
      <w:rPr>
        <w:rFonts w:ascii="Arial" w:hAnsi="Arial" w:hint="default"/>
      </w:rPr>
    </w:lvl>
    <w:lvl w:ilvl="6" w:tplc="4EB4CA54" w:tentative="1">
      <w:start w:val="1"/>
      <w:numFmt w:val="bullet"/>
      <w:lvlText w:val="•"/>
      <w:lvlJc w:val="left"/>
      <w:pPr>
        <w:tabs>
          <w:tab w:val="num" w:pos="5040"/>
        </w:tabs>
        <w:ind w:left="5040" w:hanging="360"/>
      </w:pPr>
      <w:rPr>
        <w:rFonts w:ascii="Arial" w:hAnsi="Arial" w:hint="default"/>
      </w:rPr>
    </w:lvl>
    <w:lvl w:ilvl="7" w:tplc="A6B606F0" w:tentative="1">
      <w:start w:val="1"/>
      <w:numFmt w:val="bullet"/>
      <w:lvlText w:val="•"/>
      <w:lvlJc w:val="left"/>
      <w:pPr>
        <w:tabs>
          <w:tab w:val="num" w:pos="5760"/>
        </w:tabs>
        <w:ind w:left="5760" w:hanging="360"/>
      </w:pPr>
      <w:rPr>
        <w:rFonts w:ascii="Arial" w:hAnsi="Arial" w:hint="default"/>
      </w:rPr>
    </w:lvl>
    <w:lvl w:ilvl="8" w:tplc="A7C4801E" w:tentative="1">
      <w:start w:val="1"/>
      <w:numFmt w:val="bullet"/>
      <w:lvlText w:val="•"/>
      <w:lvlJc w:val="left"/>
      <w:pPr>
        <w:tabs>
          <w:tab w:val="num" w:pos="6480"/>
        </w:tabs>
        <w:ind w:left="6480" w:hanging="360"/>
      </w:pPr>
      <w:rPr>
        <w:rFonts w:ascii="Arial" w:hAnsi="Arial" w:hint="default"/>
      </w:rPr>
    </w:lvl>
  </w:abstractNum>
  <w:abstractNum w:abstractNumId="12">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5C3BB2"/>
    <w:multiLevelType w:val="hybridMultilevel"/>
    <w:tmpl w:val="B59A7882"/>
    <w:lvl w:ilvl="0" w:tplc="A1FCC8F6">
      <w:start w:val="1"/>
      <w:numFmt w:val="bullet"/>
      <w:lvlText w:val="•"/>
      <w:lvlJc w:val="left"/>
      <w:pPr>
        <w:tabs>
          <w:tab w:val="num" w:pos="720"/>
        </w:tabs>
        <w:ind w:left="720" w:hanging="360"/>
      </w:pPr>
      <w:rPr>
        <w:rFonts w:ascii="Arial" w:hAnsi="Arial" w:hint="default"/>
      </w:rPr>
    </w:lvl>
    <w:lvl w:ilvl="1" w:tplc="3B4C4436" w:tentative="1">
      <w:start w:val="1"/>
      <w:numFmt w:val="bullet"/>
      <w:lvlText w:val="•"/>
      <w:lvlJc w:val="left"/>
      <w:pPr>
        <w:tabs>
          <w:tab w:val="num" w:pos="1440"/>
        </w:tabs>
        <w:ind w:left="1440" w:hanging="360"/>
      </w:pPr>
      <w:rPr>
        <w:rFonts w:ascii="Arial" w:hAnsi="Arial" w:hint="default"/>
      </w:rPr>
    </w:lvl>
    <w:lvl w:ilvl="2" w:tplc="3E3E4F32" w:tentative="1">
      <w:start w:val="1"/>
      <w:numFmt w:val="bullet"/>
      <w:lvlText w:val="•"/>
      <w:lvlJc w:val="left"/>
      <w:pPr>
        <w:tabs>
          <w:tab w:val="num" w:pos="2160"/>
        </w:tabs>
        <w:ind w:left="2160" w:hanging="360"/>
      </w:pPr>
      <w:rPr>
        <w:rFonts w:ascii="Arial" w:hAnsi="Arial" w:hint="default"/>
      </w:rPr>
    </w:lvl>
    <w:lvl w:ilvl="3" w:tplc="9C8C3E4A" w:tentative="1">
      <w:start w:val="1"/>
      <w:numFmt w:val="bullet"/>
      <w:lvlText w:val="•"/>
      <w:lvlJc w:val="left"/>
      <w:pPr>
        <w:tabs>
          <w:tab w:val="num" w:pos="2880"/>
        </w:tabs>
        <w:ind w:left="2880" w:hanging="360"/>
      </w:pPr>
      <w:rPr>
        <w:rFonts w:ascii="Arial" w:hAnsi="Arial" w:hint="default"/>
      </w:rPr>
    </w:lvl>
    <w:lvl w:ilvl="4" w:tplc="16E6F92A" w:tentative="1">
      <w:start w:val="1"/>
      <w:numFmt w:val="bullet"/>
      <w:lvlText w:val="•"/>
      <w:lvlJc w:val="left"/>
      <w:pPr>
        <w:tabs>
          <w:tab w:val="num" w:pos="3600"/>
        </w:tabs>
        <w:ind w:left="3600" w:hanging="360"/>
      </w:pPr>
      <w:rPr>
        <w:rFonts w:ascii="Arial" w:hAnsi="Arial" w:hint="default"/>
      </w:rPr>
    </w:lvl>
    <w:lvl w:ilvl="5" w:tplc="5978CC68" w:tentative="1">
      <w:start w:val="1"/>
      <w:numFmt w:val="bullet"/>
      <w:lvlText w:val="•"/>
      <w:lvlJc w:val="left"/>
      <w:pPr>
        <w:tabs>
          <w:tab w:val="num" w:pos="4320"/>
        </w:tabs>
        <w:ind w:left="4320" w:hanging="360"/>
      </w:pPr>
      <w:rPr>
        <w:rFonts w:ascii="Arial" w:hAnsi="Arial" w:hint="default"/>
      </w:rPr>
    </w:lvl>
    <w:lvl w:ilvl="6" w:tplc="4D0417B2" w:tentative="1">
      <w:start w:val="1"/>
      <w:numFmt w:val="bullet"/>
      <w:lvlText w:val="•"/>
      <w:lvlJc w:val="left"/>
      <w:pPr>
        <w:tabs>
          <w:tab w:val="num" w:pos="5040"/>
        </w:tabs>
        <w:ind w:left="5040" w:hanging="360"/>
      </w:pPr>
      <w:rPr>
        <w:rFonts w:ascii="Arial" w:hAnsi="Arial" w:hint="default"/>
      </w:rPr>
    </w:lvl>
    <w:lvl w:ilvl="7" w:tplc="4CF81DD2" w:tentative="1">
      <w:start w:val="1"/>
      <w:numFmt w:val="bullet"/>
      <w:lvlText w:val="•"/>
      <w:lvlJc w:val="left"/>
      <w:pPr>
        <w:tabs>
          <w:tab w:val="num" w:pos="5760"/>
        </w:tabs>
        <w:ind w:left="5760" w:hanging="360"/>
      </w:pPr>
      <w:rPr>
        <w:rFonts w:ascii="Arial" w:hAnsi="Arial" w:hint="default"/>
      </w:rPr>
    </w:lvl>
    <w:lvl w:ilvl="8" w:tplc="4650E1DA" w:tentative="1">
      <w:start w:val="1"/>
      <w:numFmt w:val="bullet"/>
      <w:lvlText w:val="•"/>
      <w:lvlJc w:val="left"/>
      <w:pPr>
        <w:tabs>
          <w:tab w:val="num" w:pos="6480"/>
        </w:tabs>
        <w:ind w:left="6480" w:hanging="360"/>
      </w:pPr>
      <w:rPr>
        <w:rFonts w:ascii="Arial" w:hAnsi="Arial"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8">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8"/>
  </w:num>
  <w:num w:numId="3">
    <w:abstractNumId w:val="3"/>
  </w:num>
  <w:num w:numId="4">
    <w:abstractNumId w:val="20"/>
  </w:num>
  <w:num w:numId="5">
    <w:abstractNumId w:val="9"/>
  </w:num>
  <w:num w:numId="6">
    <w:abstractNumId w:val="32"/>
  </w:num>
  <w:num w:numId="7">
    <w:abstractNumId w:val="5"/>
  </w:num>
  <w:num w:numId="8">
    <w:abstractNumId w:val="21"/>
  </w:num>
  <w:num w:numId="9">
    <w:abstractNumId w:val="15"/>
  </w:num>
  <w:num w:numId="10">
    <w:abstractNumId w:val="31"/>
  </w:num>
  <w:num w:numId="11">
    <w:abstractNumId w:val="33"/>
  </w:num>
  <w:num w:numId="12">
    <w:abstractNumId w:val="34"/>
  </w:num>
  <w:num w:numId="13">
    <w:abstractNumId w:val="16"/>
  </w:num>
  <w:num w:numId="14">
    <w:abstractNumId w:val="19"/>
  </w:num>
  <w:num w:numId="15">
    <w:abstractNumId w:val="13"/>
  </w:num>
  <w:num w:numId="16">
    <w:abstractNumId w:val="29"/>
  </w:num>
  <w:num w:numId="17">
    <w:abstractNumId w:val="0"/>
  </w:num>
  <w:num w:numId="18">
    <w:abstractNumId w:val="30"/>
  </w:num>
  <w:num w:numId="19">
    <w:abstractNumId w:val="22"/>
  </w:num>
  <w:num w:numId="20">
    <w:abstractNumId w:val="24"/>
  </w:num>
  <w:num w:numId="21">
    <w:abstractNumId w:val="10"/>
  </w:num>
  <w:num w:numId="22">
    <w:abstractNumId w:val="28"/>
  </w:num>
  <w:num w:numId="23">
    <w:abstractNumId w:val="17"/>
  </w:num>
  <w:num w:numId="24">
    <w:abstractNumId w:val="24"/>
  </w:num>
  <w:num w:numId="25">
    <w:abstractNumId w:val="12"/>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7"/>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4"/>
  </w:num>
  <w:num w:numId="32">
    <w:abstractNumId w:val="14"/>
  </w:num>
  <w:num w:numId="33">
    <w:abstractNumId w:val="2"/>
  </w:num>
  <w:num w:numId="34">
    <w:abstractNumId w:val="12"/>
  </w:num>
  <w:num w:numId="35">
    <w:abstractNumId w:val="6"/>
  </w:num>
  <w:num w:numId="36">
    <w:abstractNumId w:val="27"/>
  </w:num>
  <w:num w:numId="37">
    <w:abstractNumId w:val="4"/>
  </w:num>
  <w:num w:numId="38">
    <w:abstractNumId w:val="11"/>
  </w:num>
  <w:num w:numId="3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5A16"/>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4C4"/>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06CA"/>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3A4"/>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3F96"/>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03C"/>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A8"/>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EC3"/>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02B"/>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8E7"/>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BFC"/>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1C59"/>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CEC"/>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4E45"/>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09A"/>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B3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2D92"/>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6EDE"/>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91B"/>
    <w:rsid w:val="00752C60"/>
    <w:rsid w:val="00752CE0"/>
    <w:rsid w:val="0075381A"/>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3C0F"/>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597"/>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3A3"/>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7E4"/>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8B7"/>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A8E"/>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E72"/>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03E"/>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85C"/>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0478"/>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1FAE"/>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5FA4"/>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160"/>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063"/>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5F99"/>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97663"/>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0396524">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6114330">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27046710">
      <w:bodyDiv w:val="1"/>
      <w:marLeft w:val="0"/>
      <w:marRight w:val="0"/>
      <w:marTop w:val="0"/>
      <w:marBottom w:val="0"/>
      <w:divBdr>
        <w:top w:val="none" w:sz="0" w:space="0" w:color="auto"/>
        <w:left w:val="none" w:sz="0" w:space="0" w:color="auto"/>
        <w:bottom w:val="none" w:sz="0" w:space="0" w:color="auto"/>
        <w:right w:val="none" w:sz="0" w:space="0" w:color="auto"/>
      </w:divBdr>
      <w:divsChild>
        <w:div w:id="77291795">
          <w:marLeft w:val="547"/>
          <w:marRight w:val="0"/>
          <w:marTop w:val="144"/>
          <w:marBottom w:val="0"/>
          <w:divBdr>
            <w:top w:val="none" w:sz="0" w:space="0" w:color="auto"/>
            <w:left w:val="none" w:sz="0" w:space="0" w:color="auto"/>
            <w:bottom w:val="none" w:sz="0" w:space="0" w:color="auto"/>
            <w:right w:val="none" w:sz="0" w:space="0" w:color="auto"/>
          </w:divBdr>
        </w:div>
        <w:div w:id="1508979551">
          <w:marLeft w:val="547"/>
          <w:marRight w:val="0"/>
          <w:marTop w:val="144"/>
          <w:marBottom w:val="0"/>
          <w:divBdr>
            <w:top w:val="none" w:sz="0" w:space="0" w:color="auto"/>
            <w:left w:val="none" w:sz="0" w:space="0" w:color="auto"/>
            <w:bottom w:val="none" w:sz="0" w:space="0" w:color="auto"/>
            <w:right w:val="none" w:sz="0" w:space="0" w:color="auto"/>
          </w:divBdr>
        </w:div>
        <w:div w:id="2075351879">
          <w:marLeft w:val="547"/>
          <w:marRight w:val="0"/>
          <w:marTop w:val="144"/>
          <w:marBottom w:val="0"/>
          <w:divBdr>
            <w:top w:val="none" w:sz="0" w:space="0" w:color="auto"/>
            <w:left w:val="none" w:sz="0" w:space="0" w:color="auto"/>
            <w:bottom w:val="none" w:sz="0" w:space="0" w:color="auto"/>
            <w:right w:val="none" w:sz="0" w:space="0" w:color="auto"/>
          </w:divBdr>
        </w:div>
      </w:divsChild>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62239830">
      <w:bodyDiv w:val="1"/>
      <w:marLeft w:val="0"/>
      <w:marRight w:val="0"/>
      <w:marTop w:val="0"/>
      <w:marBottom w:val="0"/>
      <w:divBdr>
        <w:top w:val="none" w:sz="0" w:space="0" w:color="auto"/>
        <w:left w:val="none" w:sz="0" w:space="0" w:color="auto"/>
        <w:bottom w:val="none" w:sz="0" w:space="0" w:color="auto"/>
        <w:right w:val="none" w:sz="0" w:space="0" w:color="auto"/>
      </w:divBdr>
    </w:div>
    <w:div w:id="117468852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6361073">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5289099">
      <w:bodyDiv w:val="1"/>
      <w:marLeft w:val="0"/>
      <w:marRight w:val="0"/>
      <w:marTop w:val="0"/>
      <w:marBottom w:val="0"/>
      <w:divBdr>
        <w:top w:val="none" w:sz="0" w:space="0" w:color="auto"/>
        <w:left w:val="none" w:sz="0" w:space="0" w:color="auto"/>
        <w:bottom w:val="none" w:sz="0" w:space="0" w:color="auto"/>
        <w:right w:val="none" w:sz="0" w:space="0" w:color="auto"/>
      </w:divBdr>
      <w:divsChild>
        <w:div w:id="852836913">
          <w:marLeft w:val="547"/>
          <w:marRight w:val="0"/>
          <w:marTop w:val="13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86665022">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917972">
      <w:bodyDiv w:val="1"/>
      <w:marLeft w:val="0"/>
      <w:marRight w:val="0"/>
      <w:marTop w:val="0"/>
      <w:marBottom w:val="0"/>
      <w:divBdr>
        <w:top w:val="none" w:sz="0" w:space="0" w:color="auto"/>
        <w:left w:val="none" w:sz="0" w:space="0" w:color="auto"/>
        <w:bottom w:val="none" w:sz="0" w:space="0" w:color="auto"/>
        <w:right w:val="none" w:sz="0" w:space="0" w:color="auto"/>
      </w:divBdr>
      <w:divsChild>
        <w:div w:id="1737703238">
          <w:marLeft w:val="547"/>
          <w:marRight w:val="0"/>
          <w:marTop w:val="14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3BA81-8470-45E7-9322-BE5FD8BBA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2755</TotalTime>
  <Pages>3</Pages>
  <Words>1225</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Toulouse, France, November 14 – November 18, 2022</vt:lpstr>
      <vt:lpstr>Background</vt:lpstr>
      <vt:lpstr>Discussion</vt:lpstr>
      <vt:lpstr>    Adjacent-channel UE-UE CLI model</vt:lpstr>
      <vt:lpstr>    Co-channel model</vt:lpstr>
      <vt:lpstr>Summary</vt:lpstr>
      <vt:lpstr>Reference</vt:lpstr>
    </vt:vector>
  </TitlesOfParts>
  <Company>CATT</Company>
  <LinksUpToDate>false</LinksUpToDate>
  <CharactersWithSpaces>8198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118</cp:revision>
  <cp:lastPrinted>2007-04-24T00:59:00Z</cp:lastPrinted>
  <dcterms:created xsi:type="dcterms:W3CDTF">2022-09-27T02:35:00Z</dcterms:created>
  <dcterms:modified xsi:type="dcterms:W3CDTF">2023-02-17T09:58:00Z</dcterms:modified>
</cp:coreProperties>
</file>